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B166" w14:textId="01B78170" w:rsidR="00C21E00" w:rsidRPr="00C21E00" w:rsidRDefault="00C21E00" w:rsidP="00C21E00">
      <w:pPr>
        <w:pStyle w:val="BodyText"/>
        <w:spacing w:before="120"/>
        <w:ind w:left="272" w:right="435" w:hanging="10"/>
        <w:rPr>
          <w:rFonts w:ascii="Calibri" w:hAnsi="Calibri" w:cs="Calibri"/>
          <w:b/>
          <w:bCs/>
          <w:w w:val="105"/>
          <w:sz w:val="24"/>
          <w:szCs w:val="24"/>
        </w:rPr>
      </w:pPr>
      <w:r w:rsidRPr="00C21E00">
        <w:rPr>
          <w:rFonts w:ascii="Calibri" w:hAnsi="Calibri" w:cs="Calibri"/>
          <w:b/>
          <w:bCs/>
          <w:w w:val="105"/>
          <w:sz w:val="24"/>
          <w:szCs w:val="24"/>
        </w:rPr>
        <w:t>Dr. Mike Ruane, Associate Professor and Chemistry Department Chair</w:t>
      </w:r>
    </w:p>
    <w:p w14:paraId="610B1912" w14:textId="2B81EAAB" w:rsidR="00C21E00" w:rsidRPr="004B25DE" w:rsidRDefault="00C21E00" w:rsidP="00C21E00">
      <w:pPr>
        <w:pStyle w:val="BodyText"/>
        <w:spacing w:before="120"/>
        <w:ind w:left="272" w:right="435" w:hanging="10"/>
        <w:rPr>
          <w:rFonts w:ascii="Calibri" w:hAnsi="Calibri" w:cs="Calibri"/>
          <w:w w:val="105"/>
          <w:sz w:val="24"/>
          <w:szCs w:val="24"/>
        </w:rPr>
      </w:pPr>
      <w:r w:rsidRPr="004B25DE">
        <w:rPr>
          <w:rFonts w:ascii="Calibri" w:hAnsi="Calibri" w:cs="Calibri"/>
          <w:w w:val="105"/>
          <w:sz w:val="24"/>
          <w:szCs w:val="24"/>
        </w:rPr>
        <w:t xml:space="preserve">Dr. Ruane’s group working on the development of a process to generate chiral </w:t>
      </w:r>
      <w:proofErr w:type="spellStart"/>
      <w:r w:rsidRPr="004B25DE">
        <w:rPr>
          <w:rFonts w:ascii="Calibri" w:hAnsi="Calibri" w:cs="Calibri"/>
          <w:w w:val="105"/>
          <w:sz w:val="24"/>
          <w:szCs w:val="24"/>
        </w:rPr>
        <w:t>pyranones</w:t>
      </w:r>
      <w:proofErr w:type="spellEnd"/>
      <w:r w:rsidRPr="004B25DE">
        <w:rPr>
          <w:rFonts w:ascii="Calibri" w:hAnsi="Calibri" w:cs="Calibri"/>
          <w:w w:val="105"/>
          <w:sz w:val="24"/>
          <w:szCs w:val="24"/>
        </w:rPr>
        <w:t xml:space="preserve"> in few steps. The generation of chiral centers from achiral starting materials is of great interest to the pharmaceutical industry in making the industrial synthesis of pharmaceuticals less expensive.</w:t>
      </w:r>
      <w:r w:rsidR="008A7760">
        <w:rPr>
          <w:rFonts w:ascii="Calibri" w:hAnsi="Calibri" w:cs="Calibri"/>
          <w:w w:val="105"/>
          <w:sz w:val="24"/>
          <w:szCs w:val="24"/>
        </w:rPr>
        <w:t xml:space="preserve"> </w:t>
      </w:r>
      <w:r w:rsidRPr="004B25DE">
        <w:rPr>
          <w:rFonts w:ascii="Calibri" w:hAnsi="Calibri" w:cs="Calibri"/>
          <w:w w:val="105"/>
          <w:sz w:val="24"/>
          <w:szCs w:val="24"/>
        </w:rPr>
        <w:t>Dr. Ruane’s idea is to take advantage of different synthetic techniques with known stereochemical outcomes</w:t>
      </w:r>
      <w:r w:rsidRPr="004B25DE">
        <w:rPr>
          <w:rStyle w:val="EndnoteReference"/>
          <w:rFonts w:ascii="Calibri" w:hAnsi="Calibri" w:cs="Calibri"/>
          <w:w w:val="105"/>
          <w:sz w:val="24"/>
          <w:szCs w:val="24"/>
        </w:rPr>
        <w:endnoteReference w:id="1"/>
      </w:r>
      <w:r w:rsidRPr="004B25DE">
        <w:rPr>
          <w:rFonts w:ascii="Calibri" w:hAnsi="Calibri" w:cs="Calibri"/>
          <w:w w:val="105"/>
          <w:sz w:val="24"/>
          <w:szCs w:val="24"/>
        </w:rPr>
        <w:t xml:space="preserve"> to quickly generate </w:t>
      </w:r>
      <w:r w:rsidR="00C738B6" w:rsidRPr="004B25DE">
        <w:rPr>
          <w:rFonts w:ascii="Calibri" w:hAnsi="Calibri" w:cs="Calibri"/>
          <w:w w:val="105"/>
          <w:sz w:val="24"/>
          <w:szCs w:val="24"/>
        </w:rPr>
        <w:t>biologically relevant</w:t>
      </w:r>
      <w:r w:rsidRPr="004B25DE">
        <w:rPr>
          <w:rFonts w:ascii="Calibri" w:hAnsi="Calibri" w:cs="Calibri"/>
          <w:w w:val="105"/>
          <w:sz w:val="24"/>
          <w:szCs w:val="24"/>
        </w:rPr>
        <w:t xml:space="preserve"> materials.</w:t>
      </w:r>
    </w:p>
    <w:p w14:paraId="01CDBB75" w14:textId="766D15D1" w:rsidR="00C21E00" w:rsidRPr="004B25DE" w:rsidRDefault="00C21E00" w:rsidP="00C21E00">
      <w:pPr>
        <w:pStyle w:val="BodyText"/>
        <w:spacing w:before="120"/>
        <w:ind w:left="273" w:right="432" w:hanging="14"/>
        <w:rPr>
          <w:rFonts w:ascii="Calibri" w:hAnsi="Calibri" w:cs="Calibri"/>
          <w:w w:val="105"/>
          <w:sz w:val="24"/>
          <w:szCs w:val="24"/>
        </w:rPr>
      </w:pPr>
      <w:r w:rsidRPr="004B25DE">
        <w:rPr>
          <w:rFonts w:ascii="Calibri" w:hAnsi="Calibri" w:cs="Calibri"/>
          <w:w w:val="105"/>
          <w:sz w:val="24"/>
          <w:szCs w:val="24"/>
        </w:rPr>
        <w:t xml:space="preserve">In Scheme 1, the synthetic plan is to generate a </w:t>
      </w:r>
      <w:proofErr w:type="spellStart"/>
      <w:r w:rsidRPr="004B25DE">
        <w:rPr>
          <w:rFonts w:ascii="Calibri" w:hAnsi="Calibri" w:cs="Calibri"/>
          <w:w w:val="105"/>
          <w:sz w:val="24"/>
          <w:szCs w:val="24"/>
        </w:rPr>
        <w:t>pyranone</w:t>
      </w:r>
      <w:proofErr w:type="spellEnd"/>
      <w:r w:rsidRPr="004B25DE">
        <w:rPr>
          <w:rFonts w:ascii="Calibri" w:hAnsi="Calibri" w:cs="Calibri"/>
          <w:w w:val="105"/>
          <w:sz w:val="24"/>
          <w:szCs w:val="24"/>
        </w:rPr>
        <w:t xml:space="preserve"> with four chiral centers with controlled stereochemistry.  Steps </w:t>
      </w:r>
      <w:r w:rsidRPr="004B25DE">
        <w:rPr>
          <w:rFonts w:ascii="Calibri" w:hAnsi="Calibri" w:cs="Calibri"/>
          <w:b/>
          <w:w w:val="105"/>
          <w:sz w:val="24"/>
          <w:szCs w:val="24"/>
        </w:rPr>
        <w:t xml:space="preserve">1 </w:t>
      </w:r>
      <w:r w:rsidRPr="004B25DE">
        <w:rPr>
          <w:rFonts w:ascii="Calibri" w:hAnsi="Calibri" w:cs="Calibri"/>
          <w:w w:val="105"/>
          <w:sz w:val="24"/>
          <w:szCs w:val="24"/>
        </w:rPr>
        <w:t xml:space="preserve">and </w:t>
      </w:r>
      <w:r w:rsidRPr="004B25DE">
        <w:rPr>
          <w:rFonts w:ascii="Calibri" w:hAnsi="Calibri" w:cs="Calibri"/>
          <w:b/>
          <w:w w:val="105"/>
          <w:sz w:val="24"/>
          <w:szCs w:val="24"/>
        </w:rPr>
        <w:t xml:space="preserve">2 </w:t>
      </w:r>
      <w:r w:rsidRPr="004B25DE">
        <w:rPr>
          <w:rFonts w:ascii="Calibri" w:hAnsi="Calibri" w:cs="Calibri"/>
          <w:w w:val="105"/>
          <w:sz w:val="24"/>
          <w:szCs w:val="24"/>
        </w:rPr>
        <w:t>have been shown to be generated in the literature and have been replicated by my undergraduate researchers. Currently my undergraduates have shown the formation</w:t>
      </w:r>
      <w:r w:rsidRPr="004B25DE">
        <w:rPr>
          <w:rStyle w:val="EndnoteReference"/>
          <w:rFonts w:ascii="Calibri" w:hAnsi="Calibri" w:cs="Calibri"/>
          <w:w w:val="105"/>
          <w:sz w:val="24"/>
          <w:szCs w:val="24"/>
        </w:rPr>
        <w:endnoteReference w:id="2"/>
      </w:r>
      <w:r w:rsidRPr="004B25DE">
        <w:rPr>
          <w:rFonts w:ascii="Calibri" w:hAnsi="Calibri" w:cs="Calibri"/>
          <w:w w:val="105"/>
          <w:sz w:val="24"/>
          <w:szCs w:val="24"/>
        </w:rPr>
        <w:t xml:space="preserve"> of product </w:t>
      </w:r>
      <w:r w:rsidRPr="004B25DE">
        <w:rPr>
          <w:rFonts w:ascii="Calibri" w:hAnsi="Calibri" w:cs="Calibri"/>
          <w:b/>
          <w:w w:val="105"/>
          <w:sz w:val="24"/>
          <w:szCs w:val="24"/>
        </w:rPr>
        <w:t>3</w:t>
      </w:r>
      <w:r w:rsidRPr="004B25DE">
        <w:rPr>
          <w:rFonts w:ascii="Calibri" w:hAnsi="Calibri" w:cs="Calibri"/>
          <w:w w:val="105"/>
          <w:sz w:val="24"/>
          <w:szCs w:val="24"/>
        </w:rPr>
        <w:t xml:space="preserve"> can be accomplished with reasonable yields (~50%) and retained stereochemistry. During the summer of 2021, my researchers and I isolated good quantities of </w:t>
      </w:r>
      <w:r w:rsidRPr="004B25DE">
        <w:rPr>
          <w:rFonts w:ascii="Calibri" w:hAnsi="Calibri" w:cs="Calibri"/>
          <w:b/>
          <w:w w:val="105"/>
          <w:sz w:val="24"/>
          <w:szCs w:val="24"/>
        </w:rPr>
        <w:t>2</w:t>
      </w:r>
      <w:r w:rsidRPr="004B25DE">
        <w:rPr>
          <w:rFonts w:ascii="Calibri" w:hAnsi="Calibri" w:cs="Calibri"/>
          <w:w w:val="105"/>
          <w:sz w:val="24"/>
          <w:szCs w:val="24"/>
        </w:rPr>
        <w:t xml:space="preserve"> with different hydroxyl acids as starting materials so a comprehensive examination of different R</w:t>
      </w:r>
      <w:r w:rsidRPr="004B25DE">
        <w:rPr>
          <w:rFonts w:ascii="Calibri" w:hAnsi="Calibri" w:cs="Calibri"/>
          <w:w w:val="105"/>
          <w:sz w:val="24"/>
          <w:szCs w:val="24"/>
          <w:vertAlign w:val="subscript"/>
        </w:rPr>
        <w:t>1</w:t>
      </w:r>
      <w:r w:rsidRPr="004B25DE">
        <w:rPr>
          <w:rFonts w:ascii="Calibri" w:hAnsi="Calibri" w:cs="Calibri"/>
          <w:w w:val="105"/>
          <w:sz w:val="24"/>
          <w:szCs w:val="24"/>
        </w:rPr>
        <w:t xml:space="preserve"> groups can be compared for activity.  </w:t>
      </w:r>
    </w:p>
    <w:p w14:paraId="4C9D2AE7" w14:textId="3B9560B9" w:rsidR="00C21E00" w:rsidRPr="004B25DE" w:rsidRDefault="00C21E00" w:rsidP="00C21E00">
      <w:pPr>
        <w:pStyle w:val="BodyText"/>
        <w:spacing w:before="120"/>
        <w:ind w:left="273" w:right="432" w:hanging="14"/>
        <w:rPr>
          <w:rFonts w:ascii="Calibri" w:hAnsi="Calibri" w:cs="Calibri"/>
          <w:w w:val="105"/>
          <w:sz w:val="24"/>
          <w:szCs w:val="24"/>
        </w:rPr>
      </w:pPr>
      <w:r w:rsidRPr="004B25DE">
        <w:rPr>
          <w:rFonts w:ascii="Calibri" w:hAnsi="Calibri" w:cs="Calibri"/>
          <w:w w:val="105"/>
          <w:sz w:val="24"/>
          <w:szCs w:val="24"/>
        </w:rPr>
        <w:t xml:space="preserve"> For future research, Dr. Ruane’s group would like to generate products </w:t>
      </w:r>
      <w:r w:rsidRPr="004B25DE">
        <w:rPr>
          <w:rFonts w:ascii="Calibri" w:hAnsi="Calibri" w:cs="Calibri"/>
          <w:b/>
          <w:w w:val="105"/>
          <w:sz w:val="24"/>
          <w:szCs w:val="24"/>
        </w:rPr>
        <w:t>4-6</w:t>
      </w:r>
      <w:r w:rsidRPr="004B25DE">
        <w:rPr>
          <w:rFonts w:ascii="Calibri" w:hAnsi="Calibri" w:cs="Calibri"/>
          <w:w w:val="105"/>
          <w:sz w:val="24"/>
          <w:szCs w:val="24"/>
        </w:rPr>
        <w:t xml:space="preserve"> and determine yield and industrial feasibility of process. If proven reliable, they would then move on to showing controlled generation of all four R groups on the ring, demonstrating chiral</w:t>
      </w:r>
      <w:r w:rsidRPr="004B25DE">
        <w:rPr>
          <w:rStyle w:val="EndnoteReference"/>
          <w:rFonts w:ascii="Calibri" w:hAnsi="Calibri" w:cs="Calibri"/>
          <w:w w:val="105"/>
          <w:sz w:val="24"/>
          <w:szCs w:val="24"/>
        </w:rPr>
        <w:endnoteReference w:id="3"/>
      </w:r>
      <w:r w:rsidRPr="004B25DE">
        <w:rPr>
          <w:rFonts w:ascii="Calibri" w:hAnsi="Calibri" w:cs="Calibri"/>
          <w:w w:val="105"/>
          <w:sz w:val="24"/>
          <w:szCs w:val="24"/>
        </w:rPr>
        <w:t xml:space="preserve"> control in few steps of a </w:t>
      </w:r>
      <w:proofErr w:type="spellStart"/>
      <w:r w:rsidRPr="004B25DE">
        <w:rPr>
          <w:rFonts w:ascii="Calibri" w:hAnsi="Calibri" w:cs="Calibri"/>
          <w:w w:val="105"/>
          <w:sz w:val="24"/>
          <w:szCs w:val="24"/>
        </w:rPr>
        <w:t>pyranone</w:t>
      </w:r>
      <w:proofErr w:type="spellEnd"/>
      <w:r w:rsidRPr="004B25DE">
        <w:rPr>
          <w:rFonts w:ascii="Calibri" w:hAnsi="Calibri" w:cs="Calibri"/>
          <w:w w:val="105"/>
          <w:sz w:val="24"/>
          <w:szCs w:val="24"/>
        </w:rPr>
        <w:t xml:space="preserve">—a structure of great medicinal interest, including anti-tumor and anti-diabetes research. We have also secured a pure </w:t>
      </w:r>
      <w:r w:rsidRPr="004B25DE">
        <w:rPr>
          <w:rFonts w:ascii="Calibri" w:hAnsi="Calibri" w:cs="Calibri"/>
          <w:w w:val="105"/>
          <w:sz w:val="24"/>
          <w:szCs w:val="24"/>
        </w:rPr>
        <w:t>-lactone (</w:t>
      </w:r>
      <w:r w:rsidRPr="004B25DE">
        <w:rPr>
          <w:rFonts w:ascii="Calibri" w:hAnsi="Calibri" w:cs="Calibri"/>
          <w:b/>
          <w:w w:val="105"/>
          <w:sz w:val="24"/>
          <w:szCs w:val="24"/>
        </w:rPr>
        <w:t>2</w:t>
      </w:r>
      <w:r w:rsidRPr="004B25DE">
        <w:rPr>
          <w:rFonts w:ascii="Calibri" w:hAnsi="Calibri" w:cs="Calibri"/>
          <w:w w:val="105"/>
          <w:sz w:val="24"/>
          <w:szCs w:val="24"/>
        </w:rPr>
        <w:t xml:space="preserve">) from Sigma-Aldrich to specifically test the synthetic model. Our plan is to streamline the process in making </w:t>
      </w:r>
      <w:r w:rsidRPr="004B25DE">
        <w:rPr>
          <w:rFonts w:ascii="Calibri" w:hAnsi="Calibri" w:cs="Calibri"/>
          <w:b/>
          <w:w w:val="105"/>
          <w:sz w:val="24"/>
          <w:szCs w:val="24"/>
        </w:rPr>
        <w:t xml:space="preserve">3, 4 </w:t>
      </w:r>
      <w:r w:rsidRPr="004B25DE">
        <w:rPr>
          <w:rFonts w:ascii="Calibri" w:hAnsi="Calibri" w:cs="Calibri"/>
          <w:w w:val="105"/>
          <w:sz w:val="24"/>
          <w:szCs w:val="24"/>
        </w:rPr>
        <w:t>and</w:t>
      </w:r>
      <w:r w:rsidRPr="004B25DE">
        <w:rPr>
          <w:rFonts w:ascii="Calibri" w:hAnsi="Calibri" w:cs="Calibri"/>
          <w:b/>
          <w:w w:val="105"/>
          <w:sz w:val="24"/>
          <w:szCs w:val="24"/>
        </w:rPr>
        <w:t xml:space="preserve"> 5 </w:t>
      </w:r>
      <w:r w:rsidRPr="004B25DE">
        <w:rPr>
          <w:rFonts w:ascii="Calibri" w:hAnsi="Calibri" w:cs="Calibri"/>
          <w:w w:val="105"/>
          <w:sz w:val="24"/>
          <w:szCs w:val="24"/>
        </w:rPr>
        <w:t xml:space="preserve">for use with the products made in 2021, and once the process is streamlined, proceeding to analyze the </w:t>
      </w:r>
      <w:proofErr w:type="spellStart"/>
      <w:r w:rsidRPr="004B25DE">
        <w:rPr>
          <w:rFonts w:ascii="Calibri" w:hAnsi="Calibri" w:cs="Calibri"/>
          <w:w w:val="105"/>
          <w:sz w:val="24"/>
          <w:szCs w:val="24"/>
        </w:rPr>
        <w:t>stereocontrol</w:t>
      </w:r>
      <w:proofErr w:type="spellEnd"/>
      <w:r w:rsidRPr="004B25DE">
        <w:rPr>
          <w:rFonts w:ascii="Calibri" w:hAnsi="Calibri" w:cs="Calibri"/>
          <w:w w:val="105"/>
          <w:sz w:val="24"/>
          <w:szCs w:val="24"/>
        </w:rPr>
        <w:t xml:space="preserve"> of the process</w:t>
      </w:r>
      <w:r w:rsidRPr="004B25DE">
        <w:rPr>
          <w:rStyle w:val="EndnoteReference"/>
          <w:rFonts w:ascii="Calibri" w:hAnsi="Calibri" w:cs="Calibri"/>
          <w:w w:val="105"/>
          <w:sz w:val="24"/>
          <w:szCs w:val="24"/>
        </w:rPr>
        <w:endnoteReference w:id="4"/>
      </w:r>
      <w:r w:rsidRPr="004B25DE">
        <w:rPr>
          <w:rFonts w:ascii="Calibri" w:hAnsi="Calibri" w:cs="Calibri"/>
          <w:w w:val="105"/>
          <w:sz w:val="24"/>
          <w:szCs w:val="24"/>
        </w:rPr>
        <w:t xml:space="preserve">.  </w:t>
      </w:r>
    </w:p>
    <w:p w14:paraId="4483D0FD" w14:textId="77777777" w:rsidR="00C21E00" w:rsidRPr="004B25DE" w:rsidRDefault="00C21E00" w:rsidP="00C21E00">
      <w:pPr>
        <w:pStyle w:val="BodyText"/>
        <w:spacing w:before="120"/>
        <w:ind w:right="432"/>
        <w:jc w:val="center"/>
        <w:rPr>
          <w:rFonts w:ascii="Calibri" w:hAnsi="Calibri" w:cs="Calibri"/>
          <w:w w:val="105"/>
          <w:sz w:val="24"/>
          <w:szCs w:val="24"/>
        </w:rPr>
      </w:pPr>
      <w:r w:rsidRPr="004B25DE">
        <w:rPr>
          <w:rFonts w:ascii="Calibri" w:hAnsi="Calibri" w:cs="Calibri"/>
          <w:b/>
          <w:w w:val="105"/>
          <w:sz w:val="24"/>
          <w:szCs w:val="24"/>
        </w:rPr>
        <w:t>Scheme 1:</w:t>
      </w:r>
      <w:r w:rsidRPr="004B25DE">
        <w:rPr>
          <w:rFonts w:ascii="Calibri" w:hAnsi="Calibri" w:cs="Calibri"/>
          <w:w w:val="105"/>
          <w:sz w:val="24"/>
          <w:szCs w:val="24"/>
        </w:rPr>
        <w:t xml:space="preserve"> Overall synthetic scheme for the generation of a substituted </w:t>
      </w:r>
      <w:proofErr w:type="spellStart"/>
      <w:r w:rsidRPr="004B25DE">
        <w:rPr>
          <w:rFonts w:ascii="Calibri" w:hAnsi="Calibri" w:cs="Calibri"/>
          <w:w w:val="105"/>
          <w:sz w:val="24"/>
          <w:szCs w:val="24"/>
        </w:rPr>
        <w:t>pyranone</w:t>
      </w:r>
      <w:proofErr w:type="spellEnd"/>
      <w:r w:rsidRPr="004B25DE">
        <w:rPr>
          <w:rFonts w:ascii="Calibri" w:hAnsi="Calibri" w:cs="Calibri"/>
          <w:w w:val="105"/>
          <w:sz w:val="24"/>
          <w:szCs w:val="24"/>
        </w:rPr>
        <w:t>.</w:t>
      </w:r>
    </w:p>
    <w:p w14:paraId="0FF54810" w14:textId="77777777"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Students from the Ruane Research group have, outside of the worldwide interruption of COVID, presented poster research at regional and/or national meetings on a yearly basis. </w:t>
      </w:r>
    </w:p>
    <w:p w14:paraId="4FDA5299" w14:textId="77777777" w:rsidR="00C21E00" w:rsidRPr="004B25DE" w:rsidRDefault="00C21E00" w:rsidP="00C21E00">
      <w:pPr>
        <w:pStyle w:val="BodyText"/>
        <w:spacing w:before="105"/>
        <w:ind w:left="272" w:right="435" w:hanging="10"/>
        <w:rPr>
          <w:rFonts w:ascii="Calibri" w:hAnsi="Calibri" w:cs="Calibri"/>
          <w:w w:val="105"/>
          <w:sz w:val="24"/>
          <w:szCs w:val="24"/>
        </w:rPr>
      </w:pPr>
    </w:p>
    <w:p w14:paraId="059F87AF" w14:textId="48B68254" w:rsidR="00C21E00" w:rsidRPr="004B25DE" w:rsidRDefault="00C21E00" w:rsidP="00C21E00">
      <w:pPr>
        <w:pStyle w:val="BodyText"/>
        <w:spacing w:before="105"/>
        <w:ind w:left="272" w:right="435" w:hanging="10"/>
        <w:rPr>
          <w:rFonts w:ascii="Calibri" w:hAnsi="Calibri" w:cs="Calibri"/>
          <w:b/>
          <w:w w:val="105"/>
          <w:sz w:val="24"/>
          <w:szCs w:val="24"/>
        </w:rPr>
      </w:pPr>
      <w:r w:rsidRPr="004B25DE">
        <w:rPr>
          <w:rFonts w:ascii="Calibri" w:hAnsi="Calibri" w:cs="Calibri"/>
          <w:b/>
          <w:w w:val="105"/>
          <w:sz w:val="24"/>
          <w:szCs w:val="24"/>
        </w:rPr>
        <w:t>Dr. Alison Bray</w:t>
      </w:r>
      <w:r>
        <w:rPr>
          <w:rFonts w:ascii="Calibri" w:hAnsi="Calibri" w:cs="Calibri"/>
          <w:b/>
          <w:w w:val="105"/>
          <w:sz w:val="24"/>
          <w:szCs w:val="24"/>
        </w:rPr>
        <w:t>, Associate Professor</w:t>
      </w:r>
    </w:p>
    <w:p w14:paraId="5424FEB8" w14:textId="7600FDD3"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Dr. Bray's research interests include trace metal analytical techniques, environmental contaminants, and the interactions of natural waters with solid matrices, including edible plants, soils, and rocks. Dr. Bray was awarded an E. </w:t>
      </w:r>
      <w:proofErr w:type="spellStart"/>
      <w:r w:rsidRPr="004B25DE">
        <w:rPr>
          <w:rFonts w:ascii="Calibri" w:hAnsi="Calibri" w:cs="Calibri"/>
          <w:w w:val="105"/>
          <w:sz w:val="24"/>
          <w:szCs w:val="24"/>
        </w:rPr>
        <w:t>Kika</w:t>
      </w:r>
      <w:proofErr w:type="spellEnd"/>
      <w:r w:rsidRPr="004B25DE">
        <w:rPr>
          <w:rFonts w:ascii="Calibri" w:hAnsi="Calibri" w:cs="Calibri"/>
          <w:w w:val="105"/>
          <w:sz w:val="24"/>
          <w:szCs w:val="24"/>
        </w:rPr>
        <w:t xml:space="preserve"> De La Garza Fellowship from the </w:t>
      </w:r>
      <w:r w:rsidR="00C738B6" w:rsidRPr="004B25DE">
        <w:rPr>
          <w:rFonts w:ascii="Calibri" w:hAnsi="Calibri" w:cs="Calibri"/>
          <w:w w:val="105"/>
          <w:sz w:val="24"/>
          <w:szCs w:val="24"/>
        </w:rPr>
        <w:t>U</w:t>
      </w:r>
      <w:r w:rsidR="00C738B6">
        <w:rPr>
          <w:rFonts w:ascii="Calibri" w:hAnsi="Calibri" w:cs="Calibri"/>
          <w:w w:val="105"/>
          <w:sz w:val="24"/>
          <w:szCs w:val="24"/>
        </w:rPr>
        <w:t>.</w:t>
      </w:r>
      <w:r w:rsidR="00C738B6" w:rsidRPr="004B25DE">
        <w:rPr>
          <w:rFonts w:ascii="Calibri" w:hAnsi="Calibri" w:cs="Calibri"/>
          <w:w w:val="105"/>
          <w:sz w:val="24"/>
          <w:szCs w:val="24"/>
        </w:rPr>
        <w:t>S</w:t>
      </w:r>
      <w:r w:rsidR="008A7760">
        <w:rPr>
          <w:rFonts w:ascii="Calibri" w:hAnsi="Calibri" w:cs="Calibri"/>
          <w:w w:val="105"/>
          <w:sz w:val="24"/>
          <w:szCs w:val="24"/>
        </w:rPr>
        <w:t>.</w:t>
      </w:r>
      <w:r w:rsidR="00C738B6">
        <w:rPr>
          <w:rFonts w:ascii="Calibri" w:hAnsi="Calibri" w:cs="Calibri"/>
          <w:w w:val="105"/>
          <w:sz w:val="24"/>
          <w:szCs w:val="24"/>
        </w:rPr>
        <w:t xml:space="preserve"> </w:t>
      </w:r>
      <w:r w:rsidR="00C738B6" w:rsidRPr="004B25DE">
        <w:rPr>
          <w:rFonts w:ascii="Calibri" w:hAnsi="Calibri" w:cs="Calibri"/>
          <w:w w:val="105"/>
          <w:sz w:val="24"/>
          <w:szCs w:val="24"/>
        </w:rPr>
        <w:t>D</w:t>
      </w:r>
      <w:r w:rsidR="00C738B6">
        <w:rPr>
          <w:rFonts w:ascii="Calibri" w:hAnsi="Calibri" w:cs="Calibri"/>
          <w:w w:val="105"/>
          <w:sz w:val="24"/>
          <w:szCs w:val="24"/>
        </w:rPr>
        <w:t xml:space="preserve">epartment of </w:t>
      </w:r>
      <w:r w:rsidR="00C738B6" w:rsidRPr="004B25DE">
        <w:rPr>
          <w:rFonts w:ascii="Calibri" w:hAnsi="Calibri" w:cs="Calibri"/>
          <w:w w:val="105"/>
          <w:sz w:val="24"/>
          <w:szCs w:val="24"/>
        </w:rPr>
        <w:t>A</w:t>
      </w:r>
      <w:r w:rsidR="00C738B6">
        <w:rPr>
          <w:rFonts w:ascii="Calibri" w:hAnsi="Calibri" w:cs="Calibri"/>
          <w:w w:val="105"/>
          <w:sz w:val="24"/>
          <w:szCs w:val="24"/>
        </w:rPr>
        <w:t>griculture (USDA)</w:t>
      </w:r>
      <w:r w:rsidR="00C738B6" w:rsidRPr="004B25DE">
        <w:rPr>
          <w:rFonts w:ascii="Calibri" w:hAnsi="Calibri" w:cs="Calibri"/>
          <w:w w:val="105"/>
          <w:sz w:val="24"/>
          <w:szCs w:val="24"/>
        </w:rPr>
        <w:t xml:space="preserve"> in</w:t>
      </w:r>
      <w:r w:rsidRPr="004B25DE">
        <w:rPr>
          <w:rFonts w:ascii="Calibri" w:hAnsi="Calibri" w:cs="Calibri"/>
          <w:w w:val="105"/>
          <w:sz w:val="24"/>
          <w:szCs w:val="24"/>
        </w:rPr>
        <w:t xml:space="preserve"> </w:t>
      </w:r>
      <w:r w:rsidR="008A7760">
        <w:rPr>
          <w:rFonts w:ascii="Calibri" w:hAnsi="Calibri" w:cs="Calibri"/>
          <w:w w:val="105"/>
          <w:sz w:val="24"/>
          <w:szCs w:val="24"/>
        </w:rPr>
        <w:t xml:space="preserve">the </w:t>
      </w:r>
      <w:r w:rsidRPr="004B25DE">
        <w:rPr>
          <w:rFonts w:ascii="Calibri" w:hAnsi="Calibri" w:cs="Calibri"/>
          <w:w w:val="105"/>
          <w:sz w:val="24"/>
          <w:szCs w:val="24"/>
        </w:rPr>
        <w:t>summer of 2014 which allowed her to develop a much</w:t>
      </w:r>
      <w:r w:rsidR="00C738B6">
        <w:rPr>
          <w:rFonts w:ascii="Calibri" w:hAnsi="Calibri" w:cs="Calibri"/>
          <w:w w:val="105"/>
          <w:sz w:val="24"/>
          <w:szCs w:val="24"/>
        </w:rPr>
        <w:t xml:space="preserve"> deeper understanding </w:t>
      </w:r>
      <w:r w:rsidRPr="004B25DE">
        <w:rPr>
          <w:rFonts w:ascii="Calibri" w:hAnsi="Calibri" w:cs="Calibri"/>
          <w:w w:val="105"/>
          <w:sz w:val="24"/>
          <w:szCs w:val="24"/>
        </w:rPr>
        <w:t>of the USDA</w:t>
      </w:r>
      <w:r w:rsidR="00C738B6">
        <w:rPr>
          <w:rFonts w:ascii="Calibri" w:hAnsi="Calibri" w:cs="Calibri"/>
          <w:w w:val="105"/>
          <w:sz w:val="24"/>
          <w:szCs w:val="24"/>
        </w:rPr>
        <w:t>’s</w:t>
      </w:r>
      <w:r w:rsidRPr="004B25DE">
        <w:rPr>
          <w:rFonts w:ascii="Calibri" w:hAnsi="Calibri" w:cs="Calibri"/>
          <w:w w:val="105"/>
          <w:sz w:val="24"/>
          <w:szCs w:val="24"/>
        </w:rPr>
        <w:t xml:space="preserve"> mission. As part of the fellowship, Dr. Bray spent </w:t>
      </w:r>
      <w:r w:rsidR="00C738B6">
        <w:rPr>
          <w:rFonts w:ascii="Calibri" w:hAnsi="Calibri" w:cs="Calibri"/>
          <w:w w:val="105"/>
          <w:sz w:val="24"/>
          <w:szCs w:val="24"/>
        </w:rPr>
        <w:t>two</w:t>
      </w:r>
      <w:r w:rsidRPr="004B25DE">
        <w:rPr>
          <w:rFonts w:ascii="Calibri" w:hAnsi="Calibri" w:cs="Calibri"/>
          <w:w w:val="105"/>
          <w:sz w:val="24"/>
          <w:szCs w:val="24"/>
        </w:rPr>
        <w:t xml:space="preserve"> weeks at the USDA-ARS-CNRC in Houston, Texas working with Dr. Michael </w:t>
      </w:r>
      <w:proofErr w:type="spellStart"/>
      <w:r w:rsidRPr="004B25DE">
        <w:rPr>
          <w:rFonts w:ascii="Calibri" w:hAnsi="Calibri" w:cs="Calibri"/>
          <w:w w:val="105"/>
          <w:sz w:val="24"/>
          <w:szCs w:val="24"/>
        </w:rPr>
        <w:t>Grusak</w:t>
      </w:r>
      <w:proofErr w:type="spellEnd"/>
      <w:r w:rsidRPr="004B25DE">
        <w:rPr>
          <w:rFonts w:ascii="Calibri" w:hAnsi="Calibri" w:cs="Calibri"/>
          <w:w w:val="105"/>
          <w:sz w:val="24"/>
          <w:szCs w:val="24"/>
        </w:rPr>
        <w:t xml:space="preserve">. In 2015, Dr. Bray was awarded a four-year USDA Hispanic Serving Institution grant from the National Institute of Food and Agriculture to help to support these projects and educational initiatives.  </w:t>
      </w:r>
    </w:p>
    <w:p w14:paraId="2A4CB0E3" w14:textId="1F168875"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lastRenderedPageBreak/>
        <w:t>Dr. Bray has mentored many TLU undergraduate research students on projects pertaining to contaminant metals in edible plants and in consumer products such as dog food and protein powders. One area of research has focused on rice, which accumulates arsenic in its tissues and seeds as it grows in flooded and anoxic paddies. Along with her students, she has grown arsenic and cadmium contaminated rice plants in the TLU greenhouse to understand the uptake of these elements by rice. Students are utilizing both ICP-OES and ICP-MS to analyze the samples.</w:t>
      </w:r>
    </w:p>
    <w:p w14:paraId="5B2AB859" w14:textId="3E7DAD45"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A second project happening in Dr. Bray’s lab is utilizing “junk” polystyrene (Styrofoam) and converting it to a hyper-crosslinked polymer (HPC). The process utilizes a </w:t>
      </w:r>
      <w:r w:rsidRPr="004B25DE">
        <w:rPr>
          <w:rFonts w:ascii="Calibri" w:hAnsi="Calibri" w:cs="Calibri"/>
          <w:color w:val="202124"/>
          <w:sz w:val="24"/>
          <w:szCs w:val="24"/>
          <w:shd w:val="clear" w:color="auto" w:fill="FFFFFF"/>
        </w:rPr>
        <w:t>Friedel‐Crafts reaction to create more cross linkages in the polymer.</w:t>
      </w:r>
      <w:r w:rsidRPr="004B25DE">
        <w:rPr>
          <w:rFonts w:ascii="Calibri" w:hAnsi="Calibri" w:cs="Calibri"/>
          <w:w w:val="105"/>
          <w:sz w:val="24"/>
          <w:szCs w:val="24"/>
        </w:rPr>
        <w:t xml:space="preserve"> Based on previous experiments in the literature (Dong et al.,2020), this HCP can be utilized to adsorb contaminants including arsenic from water.</w:t>
      </w:r>
    </w:p>
    <w:p w14:paraId="10EF1DE7" w14:textId="051F1900"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Dr. Bray currently has two students working with her during the academic year continuing the hyper</w:t>
      </w:r>
      <w:r w:rsidR="008A7760">
        <w:rPr>
          <w:rFonts w:ascii="Calibri" w:hAnsi="Calibri" w:cs="Calibri"/>
          <w:w w:val="105"/>
          <w:sz w:val="24"/>
          <w:szCs w:val="24"/>
        </w:rPr>
        <w:t>-</w:t>
      </w:r>
      <w:r w:rsidRPr="004B25DE">
        <w:rPr>
          <w:rFonts w:ascii="Calibri" w:hAnsi="Calibri" w:cs="Calibri"/>
          <w:w w:val="105"/>
          <w:sz w:val="24"/>
          <w:szCs w:val="24"/>
        </w:rPr>
        <w:t>crosslinked polymer project that was started in summer of 2021. Dr. Bray and her undergraduate students regularly present their work at both local and national meetings including the American Chemical Society, Texas Academy of Science and SACNAS.</w:t>
      </w:r>
    </w:p>
    <w:p w14:paraId="405AEC27" w14:textId="77777777" w:rsidR="00C21E00" w:rsidRPr="004B25DE" w:rsidRDefault="00C21E00" w:rsidP="00C21E00">
      <w:pPr>
        <w:pStyle w:val="BodyText"/>
        <w:spacing w:before="105"/>
        <w:ind w:left="272" w:right="435" w:hanging="10"/>
        <w:rPr>
          <w:rFonts w:ascii="Calibri" w:hAnsi="Calibri" w:cs="Calibri"/>
          <w:w w:val="105"/>
          <w:sz w:val="24"/>
          <w:szCs w:val="24"/>
        </w:rPr>
      </w:pPr>
    </w:p>
    <w:p w14:paraId="7B2267B6" w14:textId="31108454" w:rsidR="00C21E00" w:rsidRPr="004B25DE" w:rsidRDefault="00C21E00" w:rsidP="00C21E00">
      <w:pPr>
        <w:pStyle w:val="BodyText"/>
        <w:spacing w:before="105"/>
        <w:ind w:left="272" w:right="435" w:hanging="10"/>
        <w:rPr>
          <w:rFonts w:ascii="Calibri" w:hAnsi="Calibri" w:cs="Calibri"/>
          <w:b/>
          <w:w w:val="105"/>
          <w:sz w:val="24"/>
          <w:szCs w:val="24"/>
        </w:rPr>
      </w:pPr>
      <w:r w:rsidRPr="004B25DE">
        <w:rPr>
          <w:rFonts w:ascii="Calibri" w:hAnsi="Calibri" w:cs="Calibri"/>
          <w:b/>
          <w:w w:val="105"/>
          <w:sz w:val="24"/>
          <w:szCs w:val="24"/>
        </w:rPr>
        <w:t xml:space="preserve">Dr. Rachel </w:t>
      </w:r>
      <w:proofErr w:type="spellStart"/>
      <w:r w:rsidRPr="004B25DE">
        <w:rPr>
          <w:rFonts w:ascii="Calibri" w:hAnsi="Calibri" w:cs="Calibri"/>
          <w:b/>
          <w:w w:val="105"/>
          <w:sz w:val="24"/>
          <w:szCs w:val="24"/>
        </w:rPr>
        <w:t>Chupik</w:t>
      </w:r>
      <w:proofErr w:type="spellEnd"/>
      <w:r w:rsidRPr="004B25DE">
        <w:rPr>
          <w:rFonts w:ascii="Calibri" w:hAnsi="Calibri" w:cs="Calibri"/>
          <w:b/>
          <w:w w:val="105"/>
          <w:sz w:val="24"/>
          <w:szCs w:val="24"/>
        </w:rPr>
        <w:t xml:space="preserve"> Adams</w:t>
      </w:r>
      <w:r>
        <w:rPr>
          <w:rFonts w:ascii="Calibri" w:hAnsi="Calibri" w:cs="Calibri"/>
          <w:b/>
          <w:w w:val="105"/>
          <w:sz w:val="24"/>
          <w:szCs w:val="24"/>
        </w:rPr>
        <w:t>, Assistant Professor</w:t>
      </w:r>
    </w:p>
    <w:p w14:paraId="71F19F42" w14:textId="77777777"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According to the Alzheimer’s association, 1 in 3 seniors in the U.S. dies from Alzheimer’s Disease (AD) each year. This devastating disease, for which there is no cure, is characterized by progressive neurodegeneration and the irreversible loss of memory and cognitive ability. Although the cause and progression of AD is not yet well understood, numerous studies over the past two decades have begun to elucidate certain characteristics of the disease. Playing a pivotal role in the disease pathogenesis is copper, which interacts with many of the proteins known to be involved in AD, including strongly binding to the </w:t>
      </w:r>
      <w:r w:rsidRPr="004B25DE">
        <w:rPr>
          <w:rFonts w:ascii="Calibri" w:hAnsi="Calibri" w:cs="Calibri"/>
          <w:sz w:val="24"/>
          <w:szCs w:val="24"/>
        </w:rPr>
        <w:t>amyloid-</w:t>
      </w:r>
      <w:r w:rsidRPr="004B25DE">
        <w:rPr>
          <w:rFonts w:ascii="Calibri" w:hAnsi="Calibri" w:cs="Calibri"/>
          <w:sz w:val="24"/>
          <w:szCs w:val="24"/>
        </w:rPr>
        <w:t> (</w:t>
      </w:r>
      <w:r w:rsidRPr="004B25DE">
        <w:rPr>
          <w:rFonts w:ascii="Calibri" w:hAnsi="Calibri" w:cs="Calibri"/>
          <w:sz w:val="24"/>
          <w:szCs w:val="24"/>
        </w:rPr>
        <w:t></w:t>
      </w:r>
      <w:r w:rsidRPr="004B25DE">
        <w:rPr>
          <w:rFonts w:ascii="Calibri" w:hAnsi="Calibri" w:cs="Calibri"/>
          <w:sz w:val="24"/>
          <w:szCs w:val="24"/>
        </w:rPr>
        <w:t></w:t>
      </w:r>
      <w:r w:rsidRPr="004B25DE">
        <w:rPr>
          <w:rFonts w:ascii="Calibri" w:hAnsi="Calibri" w:cs="Calibri"/>
          <w:sz w:val="24"/>
          <w:szCs w:val="24"/>
        </w:rPr>
        <w:t xml:space="preserve"> </w:t>
      </w:r>
      <w:r w:rsidRPr="004B25DE">
        <w:rPr>
          <w:rFonts w:ascii="Calibri" w:hAnsi="Calibri" w:cs="Calibri"/>
          <w:w w:val="105"/>
          <w:sz w:val="24"/>
          <w:szCs w:val="24"/>
        </w:rPr>
        <w:t xml:space="preserve">peptide, enhancing </w:t>
      </w:r>
      <w:r w:rsidRPr="004B25DE">
        <w:rPr>
          <w:rFonts w:ascii="Calibri" w:hAnsi="Calibri" w:cs="Calibri"/>
          <w:sz w:val="24"/>
          <w:szCs w:val="24"/>
        </w:rPr>
        <w:t></w:t>
      </w:r>
      <w:r w:rsidRPr="004B25DE">
        <w:rPr>
          <w:rFonts w:ascii="Calibri" w:hAnsi="Calibri" w:cs="Calibri"/>
          <w:sz w:val="24"/>
          <w:szCs w:val="24"/>
        </w:rPr>
        <w:t></w:t>
      </w:r>
      <w:r w:rsidRPr="004B25DE">
        <w:rPr>
          <w:rFonts w:ascii="Calibri" w:hAnsi="Calibri" w:cs="Calibri"/>
          <w:sz w:val="24"/>
          <w:szCs w:val="24"/>
        </w:rPr>
        <w:t></w:t>
      </w:r>
      <w:r w:rsidRPr="004B25DE">
        <w:rPr>
          <w:rFonts w:ascii="Calibri" w:hAnsi="Calibri" w:cs="Calibri"/>
          <w:w w:val="105"/>
          <w:sz w:val="24"/>
          <w:szCs w:val="24"/>
        </w:rPr>
        <w:t>aggregation and stimulating oxidative damage</w:t>
      </w:r>
      <w:r w:rsidRPr="004B25DE">
        <w:rPr>
          <w:rStyle w:val="EndnoteReference"/>
          <w:rFonts w:ascii="Calibri" w:hAnsi="Calibri" w:cs="Calibri"/>
          <w:w w:val="105"/>
          <w:sz w:val="24"/>
          <w:szCs w:val="24"/>
        </w:rPr>
        <w:endnoteReference w:id="5"/>
      </w:r>
      <w:r w:rsidRPr="004B25DE">
        <w:rPr>
          <w:rFonts w:ascii="Calibri" w:hAnsi="Calibri" w:cs="Calibri"/>
          <w:w w:val="105"/>
          <w:sz w:val="24"/>
          <w:szCs w:val="24"/>
        </w:rPr>
        <w:t xml:space="preserve"> </w:t>
      </w:r>
      <w:r w:rsidRPr="004B25DE">
        <w:rPr>
          <w:rStyle w:val="EndnoteReference"/>
          <w:rFonts w:ascii="Calibri" w:hAnsi="Calibri" w:cs="Calibri"/>
          <w:w w:val="105"/>
          <w:sz w:val="24"/>
          <w:szCs w:val="24"/>
        </w:rPr>
        <w:endnoteReference w:id="6"/>
      </w:r>
      <w:r w:rsidRPr="004B25DE">
        <w:rPr>
          <w:rFonts w:ascii="Calibri" w:hAnsi="Calibri" w:cs="Calibri"/>
          <w:w w:val="105"/>
          <w:sz w:val="24"/>
          <w:szCs w:val="24"/>
        </w:rPr>
        <w:t xml:space="preserve"> </w:t>
      </w:r>
      <w:r w:rsidRPr="004B25DE">
        <w:rPr>
          <w:rStyle w:val="EndnoteReference"/>
          <w:rFonts w:ascii="Calibri" w:hAnsi="Calibri" w:cs="Calibri"/>
          <w:w w:val="105"/>
          <w:sz w:val="24"/>
          <w:szCs w:val="24"/>
        </w:rPr>
        <w:endnoteReference w:id="7"/>
      </w:r>
      <w:r w:rsidRPr="004B25DE">
        <w:rPr>
          <w:rFonts w:ascii="Calibri" w:hAnsi="Calibri" w:cs="Calibri"/>
          <w:w w:val="105"/>
          <w:sz w:val="24"/>
          <w:szCs w:val="24"/>
        </w:rPr>
        <w:t xml:space="preserve">. Numerous studies have confirmed that addition of copper chelators dissolves the plaques formed from the </w:t>
      </w:r>
      <w:r w:rsidRPr="004B25DE">
        <w:rPr>
          <w:rFonts w:ascii="Calibri" w:hAnsi="Calibri" w:cs="Calibri"/>
          <w:sz w:val="24"/>
          <w:szCs w:val="24"/>
        </w:rPr>
        <w:t></w:t>
      </w:r>
      <w:r w:rsidRPr="004B25DE">
        <w:rPr>
          <w:rFonts w:ascii="Calibri" w:hAnsi="Calibri" w:cs="Calibri"/>
          <w:sz w:val="24"/>
          <w:szCs w:val="24"/>
        </w:rPr>
        <w:t></w:t>
      </w:r>
      <w:r w:rsidRPr="004B25DE">
        <w:rPr>
          <w:rFonts w:ascii="Calibri" w:hAnsi="Calibri" w:cs="Calibri"/>
          <w:sz w:val="24"/>
          <w:szCs w:val="24"/>
        </w:rPr>
        <w:t></w:t>
      </w:r>
      <w:r w:rsidRPr="004B25DE">
        <w:rPr>
          <w:rFonts w:ascii="Calibri" w:hAnsi="Calibri" w:cs="Calibri"/>
          <w:w w:val="105"/>
          <w:sz w:val="24"/>
          <w:szCs w:val="24"/>
        </w:rPr>
        <w:t>aggregation.</w:t>
      </w:r>
      <w:r w:rsidRPr="004B25DE">
        <w:rPr>
          <w:rFonts w:ascii="Calibri" w:hAnsi="Calibri" w:cs="Calibri"/>
          <w:w w:val="105"/>
          <w:sz w:val="24"/>
          <w:szCs w:val="24"/>
          <w:vertAlign w:val="superscript"/>
        </w:rPr>
        <w:t>1</w:t>
      </w:r>
      <w:r w:rsidRPr="004B25DE">
        <w:rPr>
          <w:rFonts w:ascii="Calibri" w:hAnsi="Calibri" w:cs="Calibri"/>
          <w:w w:val="105"/>
          <w:sz w:val="24"/>
          <w:szCs w:val="24"/>
        </w:rPr>
        <w:t xml:space="preserve"> Furthermore, rat and mouse models have actually regained cognitive abilities when treated with the copper chelator clioquinol (5-chloro-8-hydroxy-7-iodoquinoline).</w:t>
      </w:r>
      <w:r w:rsidRPr="004B25DE">
        <w:rPr>
          <w:rStyle w:val="EndnoteReference"/>
          <w:rFonts w:ascii="Calibri" w:hAnsi="Calibri" w:cs="Calibri"/>
          <w:w w:val="105"/>
          <w:sz w:val="24"/>
          <w:szCs w:val="24"/>
        </w:rPr>
        <w:endnoteReference w:id="8"/>
      </w:r>
      <w:r w:rsidRPr="004B25DE">
        <w:rPr>
          <w:rFonts w:ascii="Calibri" w:hAnsi="Calibri" w:cs="Calibri"/>
          <w:w w:val="105"/>
          <w:sz w:val="24"/>
          <w:szCs w:val="24"/>
        </w:rPr>
        <w:t xml:space="preserve"> In spite of these promising results, clioquinol showed severe neurotoxicity in clinical trials, while many of the other chelators either fail to effectively bind the copper or do not meet the stringent requirements for crossing the blood brain barrier.</w:t>
      </w:r>
      <w:r w:rsidRPr="004B25DE">
        <w:rPr>
          <w:rFonts w:ascii="Calibri" w:hAnsi="Calibri" w:cs="Calibri"/>
          <w:w w:val="105"/>
          <w:sz w:val="24"/>
          <w:szCs w:val="24"/>
          <w:vertAlign w:val="superscript"/>
        </w:rPr>
        <w:t xml:space="preserve">1,3 </w:t>
      </w:r>
      <w:r w:rsidRPr="004B25DE">
        <w:rPr>
          <w:rFonts w:ascii="Calibri" w:hAnsi="Calibri" w:cs="Calibri"/>
          <w:w w:val="105"/>
          <w:sz w:val="24"/>
          <w:szCs w:val="24"/>
        </w:rPr>
        <w:t xml:space="preserve">Hence, there is a need to explore copper chelating agents that are both effective and non-toxic.  </w:t>
      </w:r>
    </w:p>
    <w:p w14:paraId="5D77A7C7" w14:textId="77777777"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Dr. Adams and her research team explore </w:t>
      </w:r>
      <w:proofErr w:type="spellStart"/>
      <w:r w:rsidRPr="004B25DE">
        <w:rPr>
          <w:rFonts w:ascii="Calibri" w:hAnsi="Calibri" w:cs="Calibri"/>
          <w:w w:val="105"/>
          <w:sz w:val="24"/>
          <w:szCs w:val="24"/>
        </w:rPr>
        <w:t>neocuproine</w:t>
      </w:r>
      <w:proofErr w:type="spellEnd"/>
      <w:r w:rsidRPr="004B25DE">
        <w:rPr>
          <w:rFonts w:ascii="Calibri" w:hAnsi="Calibri" w:cs="Calibri"/>
          <w:w w:val="105"/>
          <w:sz w:val="24"/>
          <w:szCs w:val="24"/>
        </w:rPr>
        <w:t xml:space="preserve"> and its derivatives as potential drug candidates. </w:t>
      </w:r>
      <w:proofErr w:type="spellStart"/>
      <w:r w:rsidRPr="004B25DE">
        <w:rPr>
          <w:rFonts w:ascii="Calibri" w:hAnsi="Calibri" w:cs="Calibri"/>
          <w:w w:val="105"/>
          <w:sz w:val="24"/>
          <w:szCs w:val="24"/>
        </w:rPr>
        <w:t>Neocuproine</w:t>
      </w:r>
      <w:proofErr w:type="spellEnd"/>
      <w:r w:rsidRPr="004B25DE">
        <w:rPr>
          <w:rFonts w:ascii="Calibri" w:hAnsi="Calibri" w:cs="Calibri"/>
          <w:w w:val="105"/>
          <w:sz w:val="24"/>
          <w:szCs w:val="24"/>
        </w:rPr>
        <w:t xml:space="preserve"> (2,9-dimethyl-1,10-phenanthroline) shows negligible toxicity against endothelial cells and meets the criteria for crossing the blood brain barrier.</w:t>
      </w:r>
      <w:r w:rsidRPr="004B25DE">
        <w:rPr>
          <w:rStyle w:val="EndnoteReference"/>
          <w:rFonts w:ascii="Calibri" w:hAnsi="Calibri" w:cs="Calibri"/>
          <w:w w:val="105"/>
          <w:sz w:val="24"/>
          <w:szCs w:val="24"/>
        </w:rPr>
        <w:endnoteReference w:id="9"/>
      </w:r>
      <w:r w:rsidRPr="004B25DE">
        <w:rPr>
          <w:rFonts w:ascii="Calibri" w:hAnsi="Calibri" w:cs="Calibri"/>
          <w:w w:val="105"/>
          <w:sz w:val="24"/>
          <w:szCs w:val="24"/>
        </w:rPr>
        <w:t xml:space="preserve">  Reactions of </w:t>
      </w:r>
      <w:proofErr w:type="spellStart"/>
      <w:r w:rsidRPr="004B25DE">
        <w:rPr>
          <w:rFonts w:ascii="Calibri" w:hAnsi="Calibri" w:cs="Calibri"/>
          <w:w w:val="105"/>
          <w:sz w:val="24"/>
          <w:szCs w:val="24"/>
        </w:rPr>
        <w:t>neocuproine</w:t>
      </w:r>
      <w:proofErr w:type="spellEnd"/>
      <w:r w:rsidRPr="004B25DE">
        <w:rPr>
          <w:rFonts w:ascii="Calibri" w:hAnsi="Calibri" w:cs="Calibri"/>
          <w:w w:val="105"/>
          <w:sz w:val="24"/>
          <w:szCs w:val="24"/>
        </w:rPr>
        <w:t xml:space="preserve"> with various copper salts yielded a range of highly colored copper complexes, including two new five-coordinate </w:t>
      </w:r>
      <w:r w:rsidRPr="004B25DE">
        <w:rPr>
          <w:rFonts w:ascii="Calibri" w:hAnsi="Calibri" w:cs="Calibri"/>
          <w:w w:val="105"/>
          <w:sz w:val="24"/>
          <w:szCs w:val="24"/>
        </w:rPr>
        <w:lastRenderedPageBreak/>
        <w:t xml:space="preserve">copper complexes that were structurally analyzed using single crystal X-ray diffraction. The basic reaction scheme is shown below. </w:t>
      </w:r>
    </w:p>
    <w:p w14:paraId="526C606C" w14:textId="77777777" w:rsidR="00C21E00" w:rsidRPr="004B25DE" w:rsidRDefault="00C21E00" w:rsidP="00C21E00">
      <w:pPr>
        <w:spacing w:line="240" w:lineRule="auto"/>
        <w:jc w:val="center"/>
        <w:rPr>
          <w:rFonts w:ascii="Calibri" w:hAnsi="Calibri" w:cs="Calibri"/>
          <w:sz w:val="24"/>
          <w:szCs w:val="24"/>
        </w:rPr>
      </w:pPr>
      <w:r w:rsidRPr="004B25DE">
        <w:rPr>
          <w:rFonts w:ascii="Calibri" w:hAnsi="Calibri" w:cs="Calibri"/>
          <w:b/>
          <w:sz w:val="24"/>
          <w:szCs w:val="24"/>
        </w:rPr>
        <w:t>Scheme 1.</w:t>
      </w:r>
      <w:r w:rsidRPr="004B25DE">
        <w:rPr>
          <w:rFonts w:ascii="Calibri" w:hAnsi="Calibri" w:cs="Calibri"/>
          <w:sz w:val="24"/>
          <w:szCs w:val="24"/>
        </w:rPr>
        <w:t xml:space="preserve"> Reaction of </w:t>
      </w:r>
      <w:proofErr w:type="spellStart"/>
      <w:r w:rsidRPr="004B25DE">
        <w:rPr>
          <w:rFonts w:ascii="Calibri" w:hAnsi="Calibri" w:cs="Calibri"/>
          <w:sz w:val="24"/>
          <w:szCs w:val="24"/>
        </w:rPr>
        <w:t>neocuproine</w:t>
      </w:r>
      <w:proofErr w:type="spellEnd"/>
      <w:r w:rsidRPr="004B25DE">
        <w:rPr>
          <w:rFonts w:ascii="Calibri" w:hAnsi="Calibri" w:cs="Calibri"/>
          <w:sz w:val="24"/>
          <w:szCs w:val="24"/>
        </w:rPr>
        <w:t xml:space="preserve"> with various metal salts.</w:t>
      </w:r>
    </w:p>
    <w:p w14:paraId="22BBF4FD" w14:textId="77777777"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One of the problems with other copper chelators that have been studied for AD treatments is that they will indiscriminately bind either copper or zinc. Thus, Dr. Adams is also interested in the selectivity of </w:t>
      </w:r>
      <w:proofErr w:type="spellStart"/>
      <w:r w:rsidRPr="004B25DE">
        <w:rPr>
          <w:rFonts w:ascii="Calibri" w:hAnsi="Calibri" w:cs="Calibri"/>
          <w:w w:val="105"/>
          <w:sz w:val="24"/>
          <w:szCs w:val="24"/>
        </w:rPr>
        <w:t>neocuproine</w:t>
      </w:r>
      <w:proofErr w:type="spellEnd"/>
      <w:r w:rsidRPr="004B25DE">
        <w:rPr>
          <w:rFonts w:ascii="Calibri" w:hAnsi="Calibri" w:cs="Calibri"/>
          <w:w w:val="105"/>
          <w:sz w:val="24"/>
          <w:szCs w:val="24"/>
        </w:rPr>
        <w:t xml:space="preserve"> toward copper over other metals. Through metal displacement reactions, she found that copper will replace zinc in these </w:t>
      </w:r>
      <w:proofErr w:type="spellStart"/>
      <w:r w:rsidRPr="004B25DE">
        <w:rPr>
          <w:rFonts w:ascii="Calibri" w:hAnsi="Calibri" w:cs="Calibri"/>
          <w:w w:val="105"/>
          <w:sz w:val="24"/>
          <w:szCs w:val="24"/>
        </w:rPr>
        <w:t>neocuproine</w:t>
      </w:r>
      <w:proofErr w:type="spellEnd"/>
      <w:r w:rsidRPr="004B25DE">
        <w:rPr>
          <w:rFonts w:ascii="Calibri" w:hAnsi="Calibri" w:cs="Calibri"/>
          <w:w w:val="105"/>
          <w:sz w:val="24"/>
          <w:szCs w:val="24"/>
        </w:rPr>
        <w:t xml:space="preserve"> complexes, while the reverse process will not occur, leading to the conclusion that </w:t>
      </w:r>
      <w:proofErr w:type="spellStart"/>
      <w:r w:rsidRPr="004B25DE">
        <w:rPr>
          <w:rFonts w:ascii="Calibri" w:hAnsi="Calibri" w:cs="Calibri"/>
          <w:w w:val="105"/>
          <w:sz w:val="24"/>
          <w:szCs w:val="24"/>
        </w:rPr>
        <w:t>neocurpoine</w:t>
      </w:r>
      <w:proofErr w:type="spellEnd"/>
      <w:r w:rsidRPr="004B25DE">
        <w:rPr>
          <w:rFonts w:ascii="Calibri" w:hAnsi="Calibri" w:cs="Calibri"/>
          <w:w w:val="105"/>
          <w:sz w:val="24"/>
          <w:szCs w:val="24"/>
        </w:rPr>
        <w:t xml:space="preserve"> has a high selectivity for copper over zinc. </w:t>
      </w:r>
    </w:p>
    <w:p w14:paraId="1FB25B03" w14:textId="77777777" w:rsidR="00C21E00" w:rsidRPr="004B25DE" w:rsidRDefault="00C21E00" w:rsidP="00C21E00">
      <w:pPr>
        <w:pStyle w:val="BodyText"/>
        <w:spacing w:before="105"/>
        <w:ind w:left="272" w:right="435" w:hanging="10"/>
        <w:rPr>
          <w:rFonts w:ascii="Calibri" w:hAnsi="Calibri" w:cs="Calibri"/>
          <w:w w:val="105"/>
          <w:sz w:val="24"/>
          <w:szCs w:val="24"/>
        </w:rPr>
      </w:pPr>
    </w:p>
    <w:p w14:paraId="185A5869" w14:textId="6C8392D1" w:rsidR="00C21E00" w:rsidRPr="00C21E00" w:rsidRDefault="00C21E00" w:rsidP="00C21E00">
      <w:pPr>
        <w:pStyle w:val="BodyText"/>
        <w:spacing w:before="105"/>
        <w:ind w:left="272" w:right="435" w:hanging="10"/>
        <w:rPr>
          <w:rFonts w:ascii="Calibri" w:hAnsi="Calibri" w:cs="Calibri"/>
          <w:b/>
          <w:bCs/>
          <w:w w:val="105"/>
          <w:sz w:val="24"/>
          <w:szCs w:val="24"/>
        </w:rPr>
      </w:pPr>
      <w:r w:rsidRPr="00C21E00">
        <w:rPr>
          <w:rFonts w:ascii="Calibri" w:hAnsi="Calibri" w:cs="Calibri"/>
          <w:b/>
          <w:bCs/>
          <w:w w:val="105"/>
          <w:sz w:val="24"/>
          <w:szCs w:val="24"/>
        </w:rPr>
        <w:t>Dr. Jacques Jean-Francois</w:t>
      </w:r>
      <w:r>
        <w:rPr>
          <w:rFonts w:ascii="Calibri" w:hAnsi="Calibri" w:cs="Calibri"/>
          <w:b/>
          <w:w w:val="105"/>
          <w:sz w:val="24"/>
          <w:szCs w:val="24"/>
        </w:rPr>
        <w:t>, Assistant Professor</w:t>
      </w:r>
    </w:p>
    <w:p w14:paraId="5CFE7136" w14:textId="77777777"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My current research interests encompass 2 axis that are not mutually exclusive.</w:t>
      </w:r>
    </w:p>
    <w:p w14:paraId="2849FFE2" w14:textId="77777777" w:rsidR="00C21E00" w:rsidRPr="004B25DE" w:rsidRDefault="00C21E00" w:rsidP="00C21E00">
      <w:pPr>
        <w:pStyle w:val="BodyText"/>
        <w:numPr>
          <w:ilvl w:val="0"/>
          <w:numId w:val="1"/>
        </w:numPr>
        <w:spacing w:before="105"/>
        <w:ind w:right="435"/>
        <w:rPr>
          <w:rFonts w:ascii="Calibri" w:hAnsi="Calibri" w:cs="Calibri"/>
          <w:b/>
          <w:bCs/>
          <w:w w:val="105"/>
          <w:sz w:val="24"/>
          <w:szCs w:val="24"/>
          <w:u w:val="single"/>
        </w:rPr>
      </w:pPr>
      <w:r w:rsidRPr="004B25DE">
        <w:rPr>
          <w:rFonts w:ascii="Calibri" w:hAnsi="Calibri" w:cs="Calibri"/>
          <w:b/>
          <w:bCs/>
          <w:w w:val="105"/>
          <w:sz w:val="24"/>
          <w:szCs w:val="24"/>
          <w:u w:val="single"/>
        </w:rPr>
        <w:t>PEG-based hydrogels for therapeutic purposes</w:t>
      </w:r>
    </w:p>
    <w:p w14:paraId="39EA3DB8" w14:textId="663D8F02"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Hydrogels are 3-D matrixes with a high</w:t>
      </w:r>
      <w:r w:rsidR="00C738B6">
        <w:rPr>
          <w:rFonts w:ascii="Calibri" w:hAnsi="Calibri" w:cs="Calibri"/>
          <w:w w:val="105"/>
          <w:sz w:val="24"/>
          <w:szCs w:val="24"/>
        </w:rPr>
        <w:t>-</w:t>
      </w:r>
      <w:r w:rsidRPr="004B25DE">
        <w:rPr>
          <w:rFonts w:ascii="Calibri" w:hAnsi="Calibri" w:cs="Calibri"/>
          <w:w w:val="105"/>
          <w:sz w:val="24"/>
          <w:szCs w:val="24"/>
        </w:rPr>
        <w:t>water content based on different types of polymers (natural or synthetic). Hydrogels have been used in a myriad of different applications such as enzyme immobilization, controlled release of therapeutic molecules or tissue engineering. The widespread use of those biomaterials stems among other properties from their ability to mimic environing human tissues when used as implants</w:t>
      </w:r>
      <w:r w:rsidRPr="004B25DE">
        <w:rPr>
          <w:rStyle w:val="EndnoteReference"/>
          <w:rFonts w:ascii="Calibri" w:hAnsi="Calibri" w:cs="Calibri"/>
          <w:w w:val="105"/>
          <w:sz w:val="24"/>
          <w:szCs w:val="24"/>
        </w:rPr>
        <w:endnoteReference w:id="10"/>
      </w:r>
      <w:r w:rsidRPr="004B25DE">
        <w:rPr>
          <w:rFonts w:ascii="Calibri" w:hAnsi="Calibri" w:cs="Calibri"/>
          <w:w w:val="105"/>
          <w:sz w:val="24"/>
          <w:szCs w:val="24"/>
        </w:rPr>
        <w:t xml:space="preserve">. </w:t>
      </w:r>
    </w:p>
    <w:p w14:paraId="6A4E93A8" w14:textId="77777777"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Different types of strategies can be used to generate hydrogels mostly through chemical or physical methods leading to crosslinking. In our research, different types of polyethylene glycol (linear, branched) (PEG), a neutral polyether and a weakly immunogenic polymer which use have been validated in humans can be chemically crosslinked by example with bovine serum albumin (BSA) a well-characterized model protein to generate a highly hydrophilic matrix. Hydrogel’s properties (swelling, water content, mechanical properties) will depend on the characteristics of the crosslinking agents in this case PEG </w:t>
      </w:r>
      <w:r w:rsidRPr="004B25DE">
        <w:rPr>
          <w:rStyle w:val="EndnoteReference"/>
          <w:rFonts w:ascii="Calibri" w:hAnsi="Calibri" w:cs="Calibri"/>
          <w:w w:val="105"/>
          <w:sz w:val="24"/>
          <w:szCs w:val="24"/>
        </w:rPr>
        <w:endnoteReference w:id="11"/>
      </w:r>
      <w:r w:rsidRPr="004B25DE">
        <w:rPr>
          <w:rFonts w:ascii="Calibri" w:hAnsi="Calibri" w:cs="Calibri"/>
          <w:w w:val="105"/>
          <w:sz w:val="24"/>
          <w:szCs w:val="24"/>
        </w:rPr>
        <w:t xml:space="preserve"> </w:t>
      </w:r>
      <w:r w:rsidRPr="004B25DE">
        <w:rPr>
          <w:rStyle w:val="EndnoteReference"/>
          <w:rFonts w:ascii="Calibri" w:hAnsi="Calibri" w:cs="Calibri"/>
          <w:w w:val="105"/>
          <w:sz w:val="24"/>
          <w:szCs w:val="24"/>
        </w:rPr>
        <w:endnoteReference w:id="12"/>
      </w:r>
      <w:r w:rsidRPr="004B25DE">
        <w:rPr>
          <w:rFonts w:ascii="Calibri" w:hAnsi="Calibri" w:cs="Calibri"/>
          <w:w w:val="105"/>
          <w:sz w:val="24"/>
          <w:szCs w:val="24"/>
        </w:rPr>
        <w:t>.</w:t>
      </w:r>
    </w:p>
    <w:p w14:paraId="63838FBC" w14:textId="70F1BBBA"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The development of therapeutic biomaterials is the</w:t>
      </w:r>
      <w:r w:rsidRPr="004B25DE">
        <w:rPr>
          <w:rFonts w:ascii="Calibri" w:hAnsi="Calibri" w:cs="Calibri"/>
          <w:b/>
          <w:bCs/>
          <w:w w:val="105"/>
          <w:sz w:val="24"/>
          <w:szCs w:val="24"/>
        </w:rPr>
        <w:t xml:space="preserve"> </w:t>
      </w:r>
      <w:r w:rsidR="008A7760" w:rsidRPr="002377B0">
        <w:rPr>
          <w:rFonts w:ascii="Calibri" w:hAnsi="Calibri" w:cs="Calibri"/>
          <w:w w:val="105"/>
          <w:sz w:val="24"/>
          <w:szCs w:val="24"/>
        </w:rPr>
        <w:t>focus</w:t>
      </w:r>
      <w:r w:rsidRPr="004B25DE">
        <w:rPr>
          <w:rFonts w:ascii="Calibri" w:hAnsi="Calibri" w:cs="Calibri"/>
          <w:w w:val="105"/>
          <w:sz w:val="24"/>
          <w:szCs w:val="24"/>
        </w:rPr>
        <w:t xml:space="preserve"> of my research (graduate work, post-doc stint) but lack of funding </w:t>
      </w:r>
      <w:r w:rsidR="00C738B6" w:rsidRPr="004B25DE">
        <w:rPr>
          <w:rFonts w:ascii="Calibri" w:hAnsi="Calibri" w:cs="Calibri"/>
          <w:w w:val="105"/>
          <w:sz w:val="24"/>
          <w:szCs w:val="24"/>
        </w:rPr>
        <w:t>has</w:t>
      </w:r>
      <w:r w:rsidRPr="004B25DE">
        <w:rPr>
          <w:rFonts w:ascii="Calibri" w:hAnsi="Calibri" w:cs="Calibri"/>
          <w:w w:val="105"/>
          <w:sz w:val="24"/>
          <w:szCs w:val="24"/>
        </w:rPr>
        <w:t xml:space="preserve"> not enabled me to pursue it. The development of my research project will potentially create future collaborations with </w:t>
      </w:r>
      <w:r>
        <w:rPr>
          <w:rFonts w:ascii="Calibri" w:hAnsi="Calibri" w:cs="Calibri"/>
          <w:w w:val="105"/>
          <w:sz w:val="24"/>
          <w:szCs w:val="24"/>
        </w:rPr>
        <w:t xml:space="preserve">the </w:t>
      </w:r>
      <w:r w:rsidRPr="004B25DE">
        <w:rPr>
          <w:rFonts w:ascii="Calibri" w:hAnsi="Calibri" w:cs="Calibri"/>
          <w:w w:val="105"/>
          <w:sz w:val="24"/>
          <w:szCs w:val="24"/>
        </w:rPr>
        <w:t>U</w:t>
      </w:r>
      <w:r>
        <w:rPr>
          <w:rFonts w:ascii="Calibri" w:hAnsi="Calibri" w:cs="Calibri"/>
          <w:w w:val="105"/>
          <w:sz w:val="24"/>
          <w:szCs w:val="24"/>
        </w:rPr>
        <w:t xml:space="preserve">niversity of Texas San Antonio and </w:t>
      </w:r>
      <w:r w:rsidRPr="004B25DE">
        <w:rPr>
          <w:rFonts w:ascii="Calibri" w:hAnsi="Calibri" w:cs="Calibri"/>
          <w:w w:val="105"/>
          <w:sz w:val="24"/>
          <w:szCs w:val="24"/>
        </w:rPr>
        <w:t>TSA Texas State</w:t>
      </w:r>
      <w:r>
        <w:rPr>
          <w:rFonts w:ascii="Calibri" w:hAnsi="Calibri" w:cs="Calibri"/>
          <w:w w:val="105"/>
          <w:sz w:val="24"/>
          <w:szCs w:val="24"/>
        </w:rPr>
        <w:t xml:space="preserve"> University in</w:t>
      </w:r>
      <w:r w:rsidRPr="004B25DE">
        <w:rPr>
          <w:rFonts w:ascii="Calibri" w:hAnsi="Calibri" w:cs="Calibri"/>
          <w:w w:val="105"/>
          <w:sz w:val="24"/>
          <w:szCs w:val="24"/>
        </w:rPr>
        <w:t xml:space="preserve"> San Marcos which have prominent scientists and more advanced resources dedicated to the field of biomaterials.</w:t>
      </w:r>
    </w:p>
    <w:p w14:paraId="492E1B3A" w14:textId="77777777" w:rsidR="00C21E00" w:rsidRPr="004B25DE" w:rsidRDefault="00C21E00" w:rsidP="00C21E00">
      <w:pPr>
        <w:pStyle w:val="BodyText"/>
        <w:numPr>
          <w:ilvl w:val="0"/>
          <w:numId w:val="1"/>
        </w:numPr>
        <w:spacing w:before="105"/>
        <w:ind w:right="435"/>
        <w:rPr>
          <w:rFonts w:ascii="Calibri" w:hAnsi="Calibri" w:cs="Calibri"/>
          <w:b/>
          <w:bCs/>
          <w:w w:val="105"/>
          <w:sz w:val="24"/>
          <w:szCs w:val="24"/>
          <w:u w:val="single"/>
        </w:rPr>
      </w:pPr>
      <w:r w:rsidRPr="004B25DE">
        <w:rPr>
          <w:rFonts w:ascii="Calibri" w:hAnsi="Calibri" w:cs="Calibri"/>
          <w:b/>
          <w:bCs/>
          <w:w w:val="105"/>
          <w:sz w:val="24"/>
          <w:szCs w:val="24"/>
          <w:u w:val="single"/>
        </w:rPr>
        <w:t>Antioxidant properties of natural molecules and their analogues for potential therapeutic anti-inflammatory uses</w:t>
      </w:r>
    </w:p>
    <w:p w14:paraId="08D76A8C" w14:textId="3418CB5C" w:rsidR="00C21E00" w:rsidRPr="004B25DE" w:rsidRDefault="00C21E00" w:rsidP="00C21E00">
      <w:pPr>
        <w:pStyle w:val="BodyText"/>
        <w:spacing w:before="105"/>
        <w:ind w:left="272" w:right="435" w:hanging="10"/>
        <w:rPr>
          <w:rFonts w:ascii="Calibri" w:hAnsi="Calibri" w:cs="Calibri"/>
          <w:w w:val="105"/>
          <w:sz w:val="24"/>
          <w:szCs w:val="24"/>
        </w:rPr>
      </w:pPr>
      <w:r w:rsidRPr="004B25DE">
        <w:rPr>
          <w:rFonts w:ascii="Calibri" w:hAnsi="Calibri" w:cs="Calibri"/>
          <w:w w:val="105"/>
          <w:sz w:val="24"/>
          <w:szCs w:val="24"/>
        </w:rPr>
        <w:t xml:space="preserve">This second axis of my research with potential overlap with the first one is the result of a collaboration with </w:t>
      </w:r>
      <w:r>
        <w:rPr>
          <w:rFonts w:ascii="Calibri" w:hAnsi="Calibri" w:cs="Calibri"/>
          <w:w w:val="105"/>
          <w:sz w:val="24"/>
          <w:szCs w:val="24"/>
        </w:rPr>
        <w:t>A</w:t>
      </w:r>
      <w:r w:rsidRPr="004B25DE">
        <w:rPr>
          <w:rFonts w:ascii="Calibri" w:hAnsi="Calibri" w:cs="Calibri"/>
          <w:w w:val="105"/>
          <w:sz w:val="24"/>
          <w:szCs w:val="24"/>
        </w:rPr>
        <w:t xml:space="preserve">ssociate </w:t>
      </w:r>
      <w:r>
        <w:rPr>
          <w:rFonts w:ascii="Calibri" w:hAnsi="Calibri" w:cs="Calibri"/>
          <w:w w:val="105"/>
          <w:sz w:val="24"/>
          <w:szCs w:val="24"/>
        </w:rPr>
        <w:t>P</w:t>
      </w:r>
      <w:r w:rsidRPr="004B25DE">
        <w:rPr>
          <w:rFonts w:ascii="Calibri" w:hAnsi="Calibri" w:cs="Calibri"/>
          <w:w w:val="105"/>
          <w:sz w:val="24"/>
          <w:szCs w:val="24"/>
        </w:rPr>
        <w:t>rofessor Dr</w:t>
      </w:r>
      <w:r>
        <w:rPr>
          <w:rFonts w:ascii="Calibri" w:hAnsi="Calibri" w:cs="Calibri"/>
          <w:w w:val="105"/>
          <w:sz w:val="24"/>
          <w:szCs w:val="24"/>
        </w:rPr>
        <w:t>.</w:t>
      </w:r>
      <w:r w:rsidRPr="004B25DE">
        <w:rPr>
          <w:rFonts w:ascii="Calibri" w:hAnsi="Calibri" w:cs="Calibri"/>
          <w:w w:val="105"/>
          <w:sz w:val="24"/>
          <w:szCs w:val="24"/>
        </w:rPr>
        <w:t xml:space="preserve"> Mohamed </w:t>
      </w:r>
      <w:proofErr w:type="spellStart"/>
      <w:r w:rsidRPr="004B25DE">
        <w:rPr>
          <w:rFonts w:ascii="Calibri" w:hAnsi="Calibri" w:cs="Calibri"/>
          <w:w w:val="105"/>
          <w:sz w:val="24"/>
          <w:szCs w:val="24"/>
        </w:rPr>
        <w:t>Touaibia</w:t>
      </w:r>
      <w:proofErr w:type="spellEnd"/>
      <w:r w:rsidRPr="004B25DE">
        <w:rPr>
          <w:rFonts w:ascii="Calibri" w:hAnsi="Calibri" w:cs="Calibri"/>
          <w:w w:val="105"/>
          <w:sz w:val="24"/>
          <w:szCs w:val="24"/>
        </w:rPr>
        <w:t xml:space="preserve"> of Moncton University (Canada) that has been ongoing from 2007 to the current time. My interest in this collaboration is to evaluate through </w:t>
      </w:r>
      <w:r w:rsidRPr="004B25DE">
        <w:rPr>
          <w:rFonts w:ascii="Calibri" w:hAnsi="Calibri" w:cs="Calibri"/>
          <w:i/>
          <w:iCs/>
          <w:w w:val="105"/>
          <w:sz w:val="24"/>
          <w:szCs w:val="24"/>
        </w:rPr>
        <w:t>in vitro</w:t>
      </w:r>
      <w:r w:rsidRPr="004B25DE">
        <w:rPr>
          <w:rFonts w:ascii="Calibri" w:hAnsi="Calibri" w:cs="Calibri"/>
          <w:w w:val="105"/>
          <w:sz w:val="24"/>
          <w:szCs w:val="24"/>
        </w:rPr>
        <w:t xml:space="preserve"> tests (by example the </w:t>
      </w:r>
      <w:r w:rsidRPr="004B25DE">
        <w:rPr>
          <w:rFonts w:ascii="Calibri" w:hAnsi="Calibri" w:cs="Calibri"/>
          <w:w w:val="105"/>
          <w:sz w:val="24"/>
          <w:szCs w:val="24"/>
        </w:rPr>
        <w:lastRenderedPageBreak/>
        <w:t xml:space="preserve">DPPH test) the antioxidant properties of natural molecules and their analogues </w:t>
      </w:r>
      <w:r w:rsidR="00C738B6" w:rsidRPr="004B25DE">
        <w:rPr>
          <w:rFonts w:ascii="Calibri" w:hAnsi="Calibri" w:cs="Calibri"/>
          <w:w w:val="105"/>
          <w:sz w:val="24"/>
          <w:szCs w:val="24"/>
        </w:rPr>
        <w:t>to</w:t>
      </w:r>
      <w:r w:rsidRPr="004B25DE">
        <w:rPr>
          <w:rFonts w:ascii="Calibri" w:hAnsi="Calibri" w:cs="Calibri"/>
          <w:w w:val="105"/>
          <w:sz w:val="24"/>
          <w:szCs w:val="24"/>
        </w:rPr>
        <w:t xml:space="preserve"> identify potential leads for therapeutic purposes where there is an inflammatory component. We have focused specifically on natural molecules (flavonoids and phenolic acids) present in propolis as well as their analogues synthesized in the lab </w:t>
      </w:r>
    </w:p>
    <w:p w14:paraId="4B1F349B" w14:textId="77777777" w:rsidR="00C21E00" w:rsidRPr="004B25DE" w:rsidRDefault="00C21E00" w:rsidP="00C21E00">
      <w:pPr>
        <w:pStyle w:val="BodyText"/>
        <w:spacing w:before="105"/>
        <w:ind w:left="272" w:right="435" w:hanging="10"/>
        <w:rPr>
          <w:rFonts w:ascii="Calibri" w:hAnsi="Calibri" w:cs="Calibri"/>
          <w:w w:val="105"/>
          <w:sz w:val="24"/>
          <w:szCs w:val="24"/>
        </w:rPr>
      </w:pPr>
    </w:p>
    <w:p w14:paraId="0731FD8C" w14:textId="77777777" w:rsidR="00C21E00" w:rsidRPr="004B25DE" w:rsidRDefault="00C21E00" w:rsidP="00C21E00">
      <w:pPr>
        <w:pStyle w:val="BodyText"/>
        <w:spacing w:before="105"/>
        <w:ind w:left="272" w:right="435" w:hanging="10"/>
        <w:rPr>
          <w:rFonts w:ascii="Calibri" w:hAnsi="Calibri" w:cs="Calibri"/>
          <w:w w:val="105"/>
          <w:sz w:val="24"/>
          <w:szCs w:val="24"/>
        </w:rPr>
      </w:pPr>
    </w:p>
    <w:p w14:paraId="257B0C81" w14:textId="77777777" w:rsidR="00CD5E35" w:rsidRDefault="00CD5E35"/>
    <w:sectPr w:rsidR="00CD5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614B" w14:textId="77777777" w:rsidR="005A6472" w:rsidRDefault="005A6472" w:rsidP="00C21E00">
      <w:pPr>
        <w:spacing w:after="0" w:line="240" w:lineRule="auto"/>
      </w:pPr>
      <w:r>
        <w:separator/>
      </w:r>
    </w:p>
  </w:endnote>
  <w:endnote w:type="continuationSeparator" w:id="0">
    <w:p w14:paraId="3449CA12" w14:textId="77777777" w:rsidR="005A6472" w:rsidRDefault="005A6472" w:rsidP="00C21E00">
      <w:pPr>
        <w:spacing w:after="0" w:line="240" w:lineRule="auto"/>
      </w:pPr>
      <w:r>
        <w:continuationSeparator/>
      </w:r>
    </w:p>
  </w:endnote>
  <w:endnote w:id="1">
    <w:p w14:paraId="23D8922B" w14:textId="77777777" w:rsidR="00C21E00" w:rsidRPr="00DF2FBA" w:rsidRDefault="00C21E00" w:rsidP="00C21E00">
      <w:pPr>
        <w:pStyle w:val="EndnoteText"/>
        <w:rPr>
          <w:rFonts w:ascii="Arial" w:hAnsi="Arial" w:cs="Arial"/>
        </w:rPr>
      </w:pPr>
      <w:r>
        <w:rPr>
          <w:rStyle w:val="EndnoteReference"/>
        </w:rPr>
        <w:endnoteRef/>
      </w:r>
      <w:r>
        <w:t xml:space="preserve"> </w:t>
      </w:r>
      <w:r>
        <w:rPr>
          <w:rFonts w:ascii="Arial" w:hAnsi="Arial" w:cs="Arial"/>
          <w:color w:val="202122"/>
          <w:sz w:val="19"/>
          <w:szCs w:val="19"/>
          <w:shd w:val="clear" w:color="auto" w:fill="EAF3FF"/>
        </w:rPr>
        <w:t> </w:t>
      </w:r>
      <w:r w:rsidRPr="00DF2FBA">
        <w:rPr>
          <w:rStyle w:val="HTMLCite"/>
          <w:rFonts w:ascii="Arial" w:hAnsi="Arial" w:cs="Arial"/>
          <w:color w:val="202122"/>
        </w:rPr>
        <w:t xml:space="preserve">Zimmerman, H. E.; Traxler, M. D. (1957). "The Stereochemistry of the Ivanov and </w:t>
      </w:r>
      <w:proofErr w:type="spellStart"/>
      <w:r w:rsidRPr="00DF2FBA">
        <w:rPr>
          <w:rStyle w:val="HTMLCite"/>
          <w:rFonts w:ascii="Arial" w:hAnsi="Arial" w:cs="Arial"/>
          <w:color w:val="202122"/>
        </w:rPr>
        <w:t>Reformatsky</w:t>
      </w:r>
      <w:proofErr w:type="spellEnd"/>
      <w:r w:rsidRPr="00DF2FBA">
        <w:rPr>
          <w:rStyle w:val="HTMLCite"/>
          <w:rFonts w:ascii="Arial" w:hAnsi="Arial" w:cs="Arial"/>
          <w:color w:val="202122"/>
        </w:rPr>
        <w:t xml:space="preserve"> Reactions. I". </w:t>
      </w:r>
      <w:hyperlink r:id="rId1" w:tooltip="Journal of the American Chemical Society" w:history="1">
        <w:r w:rsidRPr="00DF2FBA">
          <w:rPr>
            <w:rStyle w:val="Hyperlink"/>
            <w:rFonts w:ascii="Arial" w:hAnsi="Arial" w:cs="Arial"/>
            <w:i/>
            <w:iCs/>
            <w:color w:val="0645AD"/>
          </w:rPr>
          <w:t>Journal of the American Chemical Society</w:t>
        </w:r>
      </w:hyperlink>
      <w:r w:rsidRPr="00DF2FBA">
        <w:rPr>
          <w:rStyle w:val="HTMLCite"/>
          <w:rFonts w:ascii="Arial" w:hAnsi="Arial" w:cs="Arial"/>
          <w:color w:val="202122"/>
        </w:rPr>
        <w:t>. </w:t>
      </w:r>
      <w:r w:rsidRPr="00DF2FBA">
        <w:rPr>
          <w:rStyle w:val="HTMLCite"/>
          <w:rFonts w:ascii="Arial" w:hAnsi="Arial" w:cs="Arial"/>
          <w:b/>
          <w:bCs/>
          <w:color w:val="202122"/>
        </w:rPr>
        <w:t>79</w:t>
      </w:r>
      <w:r w:rsidRPr="00DF2FBA">
        <w:rPr>
          <w:rStyle w:val="HTMLCite"/>
          <w:rFonts w:ascii="Arial" w:hAnsi="Arial" w:cs="Arial"/>
          <w:color w:val="202122"/>
        </w:rPr>
        <w:t> (8): 1920–1923</w:t>
      </w:r>
    </w:p>
  </w:endnote>
  <w:endnote w:id="2">
    <w:p w14:paraId="466C38D6"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Dollinger, </w:t>
      </w:r>
      <w:proofErr w:type="spellStart"/>
      <w:r w:rsidRPr="00DF2FBA">
        <w:rPr>
          <w:rFonts w:ascii="Arial" w:hAnsi="Arial" w:cs="Arial"/>
        </w:rPr>
        <w:t>Ndakala</w:t>
      </w:r>
      <w:proofErr w:type="spellEnd"/>
      <w:r w:rsidRPr="00DF2FBA">
        <w:rPr>
          <w:rFonts w:ascii="Arial" w:hAnsi="Arial" w:cs="Arial"/>
        </w:rPr>
        <w:t xml:space="preserve">, </w:t>
      </w:r>
      <w:proofErr w:type="spellStart"/>
      <w:r w:rsidRPr="00DF2FBA">
        <w:rPr>
          <w:rFonts w:ascii="Arial" w:hAnsi="Arial" w:cs="Arial"/>
        </w:rPr>
        <w:t>Hashemzadeh</w:t>
      </w:r>
      <w:proofErr w:type="spellEnd"/>
      <w:r w:rsidRPr="00DF2FBA">
        <w:rPr>
          <w:rFonts w:ascii="Arial" w:hAnsi="Arial" w:cs="Arial"/>
        </w:rPr>
        <w:t xml:space="preserve">, Wang </w:t>
      </w:r>
      <w:proofErr w:type="gramStart"/>
      <w:r w:rsidRPr="00DF2FBA">
        <w:rPr>
          <w:rFonts w:ascii="Arial" w:hAnsi="Arial" w:cs="Arial"/>
        </w:rPr>
        <w:t>G.,,</w:t>
      </w:r>
      <w:proofErr w:type="gramEnd"/>
      <w:r w:rsidRPr="00DF2FBA">
        <w:rPr>
          <w:rFonts w:ascii="Arial" w:hAnsi="Arial" w:cs="Arial"/>
        </w:rPr>
        <w:t xml:space="preserve"> Wang, Y., Martinez,, </w:t>
      </w:r>
      <w:proofErr w:type="spellStart"/>
      <w:r w:rsidRPr="00DF2FBA">
        <w:rPr>
          <w:rFonts w:ascii="Arial" w:hAnsi="Arial" w:cs="Arial"/>
        </w:rPr>
        <w:t>Arcari</w:t>
      </w:r>
      <w:proofErr w:type="spellEnd"/>
      <w:r w:rsidRPr="00DF2FBA">
        <w:rPr>
          <w:rFonts w:ascii="Arial" w:hAnsi="Arial" w:cs="Arial"/>
        </w:rPr>
        <w:t xml:space="preserve">, </w:t>
      </w:r>
      <w:proofErr w:type="spellStart"/>
      <w:r w:rsidRPr="00DF2FBA">
        <w:rPr>
          <w:rFonts w:ascii="Arial" w:hAnsi="Arial" w:cs="Arial"/>
        </w:rPr>
        <w:t>Galluzzo</w:t>
      </w:r>
      <w:proofErr w:type="spellEnd"/>
      <w:r w:rsidRPr="00DF2FBA">
        <w:rPr>
          <w:rFonts w:ascii="Arial" w:hAnsi="Arial" w:cs="Arial"/>
        </w:rPr>
        <w:t xml:space="preserve">,, Howell, Rheingold, </w:t>
      </w:r>
      <w:proofErr w:type="spellStart"/>
      <w:r w:rsidRPr="00DF2FBA">
        <w:rPr>
          <w:rFonts w:ascii="Arial" w:hAnsi="Arial" w:cs="Arial"/>
        </w:rPr>
        <w:t>Figuero</w:t>
      </w:r>
      <w:proofErr w:type="spellEnd"/>
      <w:r w:rsidRPr="00DF2FBA">
        <w:rPr>
          <w:rFonts w:ascii="Arial" w:hAnsi="Arial" w:cs="Arial"/>
        </w:rPr>
        <w:t xml:space="preserve">; </w:t>
      </w:r>
      <w:r w:rsidRPr="00DF2FBA">
        <w:rPr>
          <w:rFonts w:ascii="Arial" w:hAnsi="Arial" w:cs="Arial"/>
          <w:i/>
          <w:iCs/>
        </w:rPr>
        <w:t>J. Org. Chem</w:t>
      </w:r>
      <w:r w:rsidRPr="00DF2FBA">
        <w:rPr>
          <w:rFonts w:ascii="Arial" w:hAnsi="Arial" w:cs="Arial"/>
        </w:rPr>
        <w:t xml:space="preserve">., </w:t>
      </w:r>
      <w:r w:rsidRPr="00DF2FBA">
        <w:rPr>
          <w:rFonts w:ascii="Arial" w:hAnsi="Arial" w:cs="Arial"/>
          <w:b/>
          <w:bCs/>
        </w:rPr>
        <w:t>1999</w:t>
      </w:r>
      <w:r w:rsidRPr="00DF2FBA">
        <w:rPr>
          <w:rFonts w:ascii="Arial" w:hAnsi="Arial" w:cs="Arial"/>
        </w:rPr>
        <w:t xml:space="preserve">, </w:t>
      </w:r>
      <w:r w:rsidRPr="00DF2FBA">
        <w:rPr>
          <w:rFonts w:ascii="Arial" w:hAnsi="Arial" w:cs="Arial"/>
          <w:i/>
          <w:iCs/>
        </w:rPr>
        <w:t>64</w:t>
      </w:r>
      <w:r w:rsidRPr="00DF2FBA">
        <w:rPr>
          <w:rFonts w:ascii="Arial" w:hAnsi="Arial" w:cs="Arial"/>
        </w:rPr>
        <w:t>, 7074-7080</w:t>
      </w:r>
    </w:p>
    <w:p w14:paraId="40CD52F1" w14:textId="77777777" w:rsidR="00C21E00" w:rsidRPr="00DF2FBA" w:rsidRDefault="00C21E00" w:rsidP="00C21E00">
      <w:pPr>
        <w:pStyle w:val="EndnoteText"/>
        <w:rPr>
          <w:rFonts w:ascii="Arial" w:hAnsi="Arial" w:cs="Arial"/>
        </w:rPr>
      </w:pPr>
    </w:p>
  </w:endnote>
  <w:endnote w:id="3">
    <w:p w14:paraId="1FF3C24B"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Tanner, </w:t>
      </w:r>
      <w:proofErr w:type="spellStart"/>
      <w:r w:rsidRPr="00DF2FBA">
        <w:rPr>
          <w:rFonts w:ascii="Arial" w:hAnsi="Arial" w:cs="Arial"/>
        </w:rPr>
        <w:t>Birgersson</w:t>
      </w:r>
      <w:proofErr w:type="spellEnd"/>
      <w:r w:rsidRPr="00DF2FBA">
        <w:rPr>
          <w:rFonts w:ascii="Arial" w:hAnsi="Arial" w:cs="Arial"/>
        </w:rPr>
        <w:t xml:space="preserve">, </w:t>
      </w:r>
      <w:proofErr w:type="spellStart"/>
      <w:r w:rsidRPr="00DF2FBA">
        <w:rPr>
          <w:rFonts w:ascii="Arial" w:hAnsi="Arial" w:cs="Arial"/>
        </w:rPr>
        <w:t>Gogoll</w:t>
      </w:r>
      <w:proofErr w:type="spellEnd"/>
      <w:r w:rsidRPr="00DF2FBA">
        <w:rPr>
          <w:rFonts w:ascii="Arial" w:hAnsi="Arial" w:cs="Arial"/>
        </w:rPr>
        <w:t xml:space="preserve">, </w:t>
      </w:r>
      <w:proofErr w:type="spellStart"/>
      <w:r w:rsidRPr="00DF2FBA">
        <w:rPr>
          <w:rFonts w:ascii="Arial" w:hAnsi="Arial" w:cs="Arial"/>
        </w:rPr>
        <w:t>Luthmin</w:t>
      </w:r>
      <w:proofErr w:type="spellEnd"/>
      <w:r w:rsidRPr="00DF2FBA">
        <w:rPr>
          <w:rFonts w:ascii="Arial" w:hAnsi="Arial" w:cs="Arial"/>
        </w:rPr>
        <w:t xml:space="preserve">; </w:t>
      </w:r>
      <w:r w:rsidRPr="00DF2FBA">
        <w:rPr>
          <w:rFonts w:ascii="Arial" w:hAnsi="Arial" w:cs="Arial"/>
          <w:i/>
        </w:rPr>
        <w:t>Tetrahedron</w:t>
      </w:r>
      <w:r w:rsidRPr="00DF2FBA">
        <w:rPr>
          <w:rFonts w:ascii="Arial" w:hAnsi="Arial" w:cs="Arial"/>
        </w:rPr>
        <w:t xml:space="preserve"> </w:t>
      </w:r>
      <w:r w:rsidRPr="00DF2FBA">
        <w:rPr>
          <w:rFonts w:ascii="Arial" w:hAnsi="Arial" w:cs="Arial"/>
          <w:b/>
        </w:rPr>
        <w:t xml:space="preserve">1994 </w:t>
      </w:r>
      <w:proofErr w:type="gramStart"/>
      <w:r w:rsidRPr="00DF2FBA">
        <w:rPr>
          <w:rFonts w:ascii="Arial" w:hAnsi="Arial" w:cs="Arial"/>
        </w:rPr>
        <w:t>50,  9197</w:t>
      </w:r>
      <w:proofErr w:type="gramEnd"/>
      <w:r w:rsidRPr="00DF2FBA">
        <w:rPr>
          <w:rFonts w:ascii="Arial" w:hAnsi="Arial" w:cs="Arial"/>
        </w:rPr>
        <w:t>-9824</w:t>
      </w:r>
    </w:p>
  </w:endnote>
  <w:endnote w:id="4">
    <w:p w14:paraId="65716972"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Wynberg; </w:t>
      </w:r>
      <w:proofErr w:type="gramStart"/>
      <w:r w:rsidRPr="00DF2FBA">
        <w:rPr>
          <w:rFonts w:ascii="Arial" w:hAnsi="Arial" w:cs="Arial"/>
        </w:rPr>
        <w:t xml:space="preserve">Staring  </w:t>
      </w:r>
      <w:r w:rsidRPr="00DF2FBA">
        <w:rPr>
          <w:rFonts w:ascii="Arial" w:hAnsi="Arial" w:cs="Arial"/>
          <w:i/>
        </w:rPr>
        <w:t>J.</w:t>
      </w:r>
      <w:proofErr w:type="gramEnd"/>
      <w:r w:rsidRPr="00DF2FBA">
        <w:rPr>
          <w:rFonts w:ascii="Arial" w:hAnsi="Arial" w:cs="Arial"/>
          <w:i/>
        </w:rPr>
        <w:t xml:space="preserve"> Am. Chem Soc.</w:t>
      </w:r>
      <w:r w:rsidRPr="00DF2FBA">
        <w:rPr>
          <w:rFonts w:ascii="Arial" w:hAnsi="Arial" w:cs="Arial"/>
          <w:b/>
        </w:rPr>
        <w:t xml:space="preserve"> 1982</w:t>
      </w:r>
      <w:r w:rsidRPr="00DF2FBA">
        <w:rPr>
          <w:rFonts w:ascii="Arial" w:hAnsi="Arial" w:cs="Arial"/>
        </w:rPr>
        <w:t xml:space="preserve">, </w:t>
      </w:r>
      <w:r w:rsidRPr="00DF2FBA">
        <w:rPr>
          <w:rFonts w:ascii="Arial" w:hAnsi="Arial" w:cs="Arial"/>
          <w:i/>
        </w:rPr>
        <w:t>104</w:t>
      </w:r>
      <w:r w:rsidRPr="00DF2FBA">
        <w:rPr>
          <w:rFonts w:ascii="Arial" w:hAnsi="Arial" w:cs="Arial"/>
        </w:rPr>
        <w:t>, p166</w:t>
      </w:r>
    </w:p>
  </w:endnote>
  <w:endnote w:id="5">
    <w:p w14:paraId="4AE72F14"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t>
      </w:r>
      <w:proofErr w:type="spellStart"/>
      <w:r w:rsidRPr="00DF2FBA">
        <w:rPr>
          <w:rFonts w:ascii="Arial" w:hAnsi="Arial" w:cs="Arial"/>
        </w:rPr>
        <w:t>Baldari</w:t>
      </w:r>
      <w:proofErr w:type="spellEnd"/>
      <w:r w:rsidRPr="00DF2FBA">
        <w:rPr>
          <w:rFonts w:ascii="Arial" w:hAnsi="Arial" w:cs="Arial"/>
        </w:rPr>
        <w:t xml:space="preserve">, S.; Rocco, G. D.; </w:t>
      </w:r>
      <w:proofErr w:type="spellStart"/>
      <w:r w:rsidRPr="00DF2FBA">
        <w:rPr>
          <w:rFonts w:ascii="Arial" w:hAnsi="Arial" w:cs="Arial"/>
        </w:rPr>
        <w:t>Toietta</w:t>
      </w:r>
      <w:proofErr w:type="spellEnd"/>
      <w:r w:rsidRPr="00DF2FBA">
        <w:rPr>
          <w:rFonts w:ascii="Arial" w:hAnsi="Arial" w:cs="Arial"/>
        </w:rPr>
        <w:t xml:space="preserve">, G. </w:t>
      </w:r>
      <w:r w:rsidRPr="00DF2FBA">
        <w:rPr>
          <w:rFonts w:ascii="Arial" w:hAnsi="Arial" w:cs="Arial"/>
          <w:i/>
        </w:rPr>
        <w:t>Int. J. Mol. Sci.</w:t>
      </w:r>
      <w:r w:rsidRPr="00DF2FBA">
        <w:rPr>
          <w:rFonts w:ascii="Arial" w:hAnsi="Arial" w:cs="Arial"/>
        </w:rPr>
        <w:t xml:space="preserve"> </w:t>
      </w:r>
      <w:r w:rsidRPr="00DF2FBA">
        <w:rPr>
          <w:rFonts w:ascii="Arial" w:hAnsi="Arial" w:cs="Arial"/>
          <w:b/>
        </w:rPr>
        <w:t>2020</w:t>
      </w:r>
      <w:r w:rsidRPr="00DF2FBA">
        <w:rPr>
          <w:rFonts w:ascii="Arial" w:hAnsi="Arial" w:cs="Arial"/>
        </w:rPr>
        <w:t xml:space="preserve">, </w:t>
      </w:r>
      <w:r w:rsidRPr="00DF2FBA">
        <w:rPr>
          <w:rFonts w:ascii="Arial" w:hAnsi="Arial" w:cs="Arial"/>
          <w:i/>
        </w:rPr>
        <w:t>21</w:t>
      </w:r>
      <w:r w:rsidRPr="00DF2FBA">
        <w:rPr>
          <w:rFonts w:ascii="Arial" w:hAnsi="Arial" w:cs="Arial"/>
        </w:rPr>
        <w:t>, 1069</w:t>
      </w:r>
    </w:p>
  </w:endnote>
  <w:endnote w:id="6">
    <w:p w14:paraId="2205E4FD"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Takeda, A.; Takada, S.; Ando, M.; </w:t>
      </w:r>
      <w:proofErr w:type="spellStart"/>
      <w:r w:rsidRPr="00DF2FBA">
        <w:rPr>
          <w:rFonts w:ascii="Arial" w:hAnsi="Arial" w:cs="Arial"/>
        </w:rPr>
        <w:t>Itagaki</w:t>
      </w:r>
      <w:proofErr w:type="spellEnd"/>
      <w:r w:rsidRPr="00DF2FBA">
        <w:rPr>
          <w:rFonts w:ascii="Arial" w:hAnsi="Arial" w:cs="Arial"/>
        </w:rPr>
        <w:t xml:space="preserve">, K.; </w:t>
      </w:r>
      <w:proofErr w:type="spellStart"/>
      <w:r w:rsidRPr="00DF2FBA">
        <w:rPr>
          <w:rFonts w:ascii="Arial" w:hAnsi="Arial" w:cs="Arial"/>
        </w:rPr>
        <w:t>Tamano</w:t>
      </w:r>
      <w:proofErr w:type="spellEnd"/>
      <w:r w:rsidRPr="00DF2FBA">
        <w:rPr>
          <w:rFonts w:ascii="Arial" w:hAnsi="Arial" w:cs="Arial"/>
        </w:rPr>
        <w:t xml:space="preserve">, H.; Suzuki, M.; Iwaki, H.; Oku, N. </w:t>
      </w:r>
      <w:r w:rsidRPr="00DF2FBA">
        <w:rPr>
          <w:rFonts w:ascii="Arial" w:hAnsi="Arial" w:cs="Arial"/>
          <w:i/>
          <w:iCs/>
        </w:rPr>
        <w:t xml:space="preserve">Neuroscience </w:t>
      </w:r>
      <w:r w:rsidRPr="00DF2FBA">
        <w:rPr>
          <w:rFonts w:ascii="Arial" w:hAnsi="Arial" w:cs="Arial"/>
          <w:b/>
          <w:bCs/>
        </w:rPr>
        <w:t>2010</w:t>
      </w:r>
      <w:r w:rsidRPr="00DF2FBA">
        <w:rPr>
          <w:rFonts w:ascii="Arial" w:hAnsi="Arial" w:cs="Arial"/>
        </w:rPr>
        <w:t xml:space="preserve">, </w:t>
      </w:r>
      <w:r w:rsidRPr="00DF2FBA">
        <w:rPr>
          <w:rFonts w:ascii="Arial" w:hAnsi="Arial" w:cs="Arial"/>
          <w:i/>
          <w:iCs/>
        </w:rPr>
        <w:t>171</w:t>
      </w:r>
      <w:r w:rsidRPr="00DF2FBA">
        <w:rPr>
          <w:rFonts w:ascii="Arial" w:hAnsi="Arial" w:cs="Arial"/>
        </w:rPr>
        <w:t>, 443−450</w:t>
      </w:r>
    </w:p>
  </w:endnote>
  <w:endnote w:id="7">
    <w:p w14:paraId="572E85C4"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t>
      </w:r>
      <w:proofErr w:type="spellStart"/>
      <w:r w:rsidRPr="00DF2FBA">
        <w:rPr>
          <w:rFonts w:ascii="Arial" w:hAnsi="Arial" w:cs="Arial"/>
        </w:rPr>
        <w:t>Giampietro</w:t>
      </w:r>
      <w:proofErr w:type="spellEnd"/>
      <w:r w:rsidRPr="00DF2FBA">
        <w:rPr>
          <w:rFonts w:ascii="Arial" w:hAnsi="Arial" w:cs="Arial"/>
        </w:rPr>
        <w:t xml:space="preserve">, R.; Spinelli, F.; </w:t>
      </w:r>
      <w:proofErr w:type="spellStart"/>
      <w:r w:rsidRPr="00DF2FBA">
        <w:rPr>
          <w:rFonts w:ascii="Arial" w:hAnsi="Arial" w:cs="Arial"/>
        </w:rPr>
        <w:t>Contino</w:t>
      </w:r>
      <w:proofErr w:type="spellEnd"/>
      <w:r w:rsidRPr="00DF2FBA">
        <w:rPr>
          <w:rFonts w:ascii="Arial" w:hAnsi="Arial" w:cs="Arial"/>
        </w:rPr>
        <w:t xml:space="preserve">, M.; </w:t>
      </w:r>
      <w:proofErr w:type="spellStart"/>
      <w:r w:rsidRPr="00DF2FBA">
        <w:rPr>
          <w:rFonts w:ascii="Arial" w:hAnsi="Arial" w:cs="Arial"/>
        </w:rPr>
        <w:t>Colabufo</w:t>
      </w:r>
      <w:proofErr w:type="spellEnd"/>
      <w:r w:rsidRPr="00DF2FBA">
        <w:rPr>
          <w:rFonts w:ascii="Arial" w:hAnsi="Arial" w:cs="Arial"/>
        </w:rPr>
        <w:t xml:space="preserve">, N. A. </w:t>
      </w:r>
      <w:r w:rsidRPr="00DF2FBA">
        <w:rPr>
          <w:rFonts w:ascii="Arial" w:hAnsi="Arial" w:cs="Arial"/>
          <w:i/>
          <w:iCs/>
        </w:rPr>
        <w:t xml:space="preserve">Mol. Pharmaceutics </w:t>
      </w:r>
      <w:r w:rsidRPr="00DF2FBA">
        <w:rPr>
          <w:rFonts w:ascii="Arial" w:hAnsi="Arial" w:cs="Arial"/>
          <w:b/>
          <w:bCs/>
        </w:rPr>
        <w:t>2018</w:t>
      </w:r>
      <w:r w:rsidRPr="00DF2FBA">
        <w:rPr>
          <w:rFonts w:ascii="Arial" w:hAnsi="Arial" w:cs="Arial"/>
        </w:rPr>
        <w:t xml:space="preserve">, </w:t>
      </w:r>
      <w:r w:rsidRPr="00DF2FBA">
        <w:rPr>
          <w:rFonts w:ascii="Arial" w:hAnsi="Arial" w:cs="Arial"/>
          <w:i/>
          <w:iCs/>
        </w:rPr>
        <w:t>15</w:t>
      </w:r>
      <w:r w:rsidRPr="00DF2FBA">
        <w:rPr>
          <w:rFonts w:ascii="Arial" w:hAnsi="Arial" w:cs="Arial"/>
        </w:rPr>
        <w:t>, 808−820</w:t>
      </w:r>
    </w:p>
  </w:endnote>
  <w:endnote w:id="8">
    <w:p w14:paraId="2ECE9176"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t>
      </w:r>
      <w:proofErr w:type="spellStart"/>
      <w:r w:rsidRPr="00DF2FBA">
        <w:rPr>
          <w:rFonts w:ascii="Arial" w:hAnsi="Arial" w:cs="Arial"/>
        </w:rPr>
        <w:t>Cherny</w:t>
      </w:r>
      <w:proofErr w:type="spellEnd"/>
      <w:r w:rsidRPr="00DF2FBA">
        <w:rPr>
          <w:rFonts w:ascii="Arial" w:hAnsi="Arial" w:cs="Arial"/>
        </w:rPr>
        <w:t xml:space="preserve">, R. A.; Atwood, C. S.; </w:t>
      </w:r>
      <w:proofErr w:type="spellStart"/>
      <w:r w:rsidRPr="00DF2FBA">
        <w:rPr>
          <w:rFonts w:ascii="Arial" w:hAnsi="Arial" w:cs="Arial"/>
        </w:rPr>
        <w:t>Xilinas</w:t>
      </w:r>
      <w:proofErr w:type="spellEnd"/>
      <w:r w:rsidRPr="00DF2FBA">
        <w:rPr>
          <w:rFonts w:ascii="Arial" w:hAnsi="Arial" w:cs="Arial"/>
        </w:rPr>
        <w:t xml:space="preserve">, M. E.; Gray, D. N.; </w:t>
      </w:r>
      <w:proofErr w:type="spellStart"/>
      <w:proofErr w:type="gramStart"/>
      <w:r w:rsidRPr="00DF2FBA">
        <w:rPr>
          <w:rFonts w:ascii="Arial" w:hAnsi="Arial" w:cs="Arial"/>
        </w:rPr>
        <w:t>Jones,W</w:t>
      </w:r>
      <w:proofErr w:type="spellEnd"/>
      <w:r w:rsidRPr="00DF2FBA">
        <w:rPr>
          <w:rFonts w:ascii="Arial" w:hAnsi="Arial" w:cs="Arial"/>
        </w:rPr>
        <w:t>.</w:t>
      </w:r>
      <w:proofErr w:type="gramEnd"/>
      <w:r w:rsidRPr="00DF2FBA">
        <w:rPr>
          <w:rFonts w:ascii="Arial" w:hAnsi="Arial" w:cs="Arial"/>
        </w:rPr>
        <w:t xml:space="preserve"> D.; McLean, C. A.; Barnham, K. J.; </w:t>
      </w:r>
      <w:proofErr w:type="spellStart"/>
      <w:r w:rsidRPr="00DF2FBA">
        <w:rPr>
          <w:rFonts w:ascii="Arial" w:hAnsi="Arial" w:cs="Arial"/>
        </w:rPr>
        <w:t>Volitakis</w:t>
      </w:r>
      <w:proofErr w:type="spellEnd"/>
      <w:r w:rsidRPr="00DF2FBA">
        <w:rPr>
          <w:rFonts w:ascii="Arial" w:hAnsi="Arial" w:cs="Arial"/>
        </w:rPr>
        <w:t xml:space="preserve">, I.; Fraser, F. W.; Kim, Y.; Huang, X.; Goldstein, L. E.; Moir, R. D.; Lim, J. T.; </w:t>
      </w:r>
      <w:proofErr w:type="spellStart"/>
      <w:r w:rsidRPr="00DF2FBA">
        <w:rPr>
          <w:rFonts w:ascii="Arial" w:hAnsi="Arial" w:cs="Arial"/>
        </w:rPr>
        <w:t>Beyreuther</w:t>
      </w:r>
      <w:proofErr w:type="spellEnd"/>
      <w:r w:rsidRPr="00DF2FBA">
        <w:rPr>
          <w:rFonts w:ascii="Arial" w:hAnsi="Arial" w:cs="Arial"/>
        </w:rPr>
        <w:t xml:space="preserve">, K.; Zheng, H.; </w:t>
      </w:r>
      <w:proofErr w:type="spellStart"/>
      <w:r w:rsidRPr="00DF2FBA">
        <w:rPr>
          <w:rFonts w:ascii="Arial" w:hAnsi="Arial" w:cs="Arial"/>
        </w:rPr>
        <w:t>Tanzi</w:t>
      </w:r>
      <w:proofErr w:type="spellEnd"/>
      <w:r w:rsidRPr="00DF2FBA">
        <w:rPr>
          <w:rFonts w:ascii="Arial" w:hAnsi="Arial" w:cs="Arial"/>
        </w:rPr>
        <w:t xml:space="preserve">, R. E.; Masters, C. L.; Bush, A. I. </w:t>
      </w:r>
      <w:r w:rsidRPr="00DF2FBA">
        <w:rPr>
          <w:rFonts w:ascii="Arial" w:hAnsi="Arial" w:cs="Arial"/>
          <w:i/>
          <w:iCs/>
        </w:rPr>
        <w:t xml:space="preserve">Neuron </w:t>
      </w:r>
      <w:r w:rsidRPr="00DF2FBA">
        <w:rPr>
          <w:rFonts w:ascii="Arial" w:hAnsi="Arial" w:cs="Arial"/>
          <w:b/>
          <w:bCs/>
        </w:rPr>
        <w:t>2001</w:t>
      </w:r>
      <w:r w:rsidRPr="00DF2FBA">
        <w:rPr>
          <w:rFonts w:ascii="Arial" w:hAnsi="Arial" w:cs="Arial"/>
        </w:rPr>
        <w:t xml:space="preserve">, </w:t>
      </w:r>
      <w:r w:rsidRPr="00DF2FBA">
        <w:rPr>
          <w:rFonts w:ascii="Arial" w:hAnsi="Arial" w:cs="Arial"/>
          <w:i/>
          <w:iCs/>
        </w:rPr>
        <w:t>30</w:t>
      </w:r>
      <w:r w:rsidRPr="00DF2FBA">
        <w:rPr>
          <w:rFonts w:ascii="Arial" w:hAnsi="Arial" w:cs="Arial"/>
        </w:rPr>
        <w:t>, 665−676</w:t>
      </w:r>
    </w:p>
  </w:endnote>
  <w:endnote w:id="9">
    <w:p w14:paraId="45AF2CDD"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t>
      </w:r>
      <w:proofErr w:type="spellStart"/>
      <w:r w:rsidRPr="00DF2FBA">
        <w:rPr>
          <w:rFonts w:ascii="Arial" w:hAnsi="Arial" w:cs="Arial"/>
        </w:rPr>
        <w:t>Pulukkody</w:t>
      </w:r>
      <w:proofErr w:type="spellEnd"/>
      <w:r w:rsidRPr="00DF2FBA">
        <w:rPr>
          <w:rFonts w:ascii="Arial" w:hAnsi="Arial" w:cs="Arial"/>
        </w:rPr>
        <w:t xml:space="preserve">, R.*; </w:t>
      </w:r>
      <w:proofErr w:type="spellStart"/>
      <w:r w:rsidRPr="00DF2FBA">
        <w:rPr>
          <w:rFonts w:ascii="Arial" w:hAnsi="Arial" w:cs="Arial"/>
        </w:rPr>
        <w:t>Chupik</w:t>
      </w:r>
      <w:proofErr w:type="spellEnd"/>
      <w:r w:rsidRPr="00DF2FBA">
        <w:rPr>
          <w:rFonts w:ascii="Arial" w:hAnsi="Arial" w:cs="Arial"/>
        </w:rPr>
        <w:t xml:space="preserve">, R. B.*; Montalvo, S.; Khan, S. K.; </w:t>
      </w:r>
      <w:proofErr w:type="spellStart"/>
      <w:r w:rsidRPr="00DF2FBA">
        <w:rPr>
          <w:rFonts w:ascii="Arial" w:hAnsi="Arial" w:cs="Arial"/>
        </w:rPr>
        <w:t>Bhuvanesh</w:t>
      </w:r>
      <w:proofErr w:type="spellEnd"/>
      <w:r w:rsidRPr="00DF2FBA">
        <w:rPr>
          <w:rFonts w:ascii="Arial" w:hAnsi="Arial" w:cs="Arial"/>
        </w:rPr>
        <w:t xml:space="preserve">, N.; Lim, S.-M.; </w:t>
      </w:r>
      <w:proofErr w:type="spellStart"/>
      <w:r w:rsidRPr="00DF2FBA">
        <w:rPr>
          <w:rFonts w:ascii="Arial" w:hAnsi="Arial" w:cs="Arial"/>
        </w:rPr>
        <w:t>Darensbourg</w:t>
      </w:r>
      <w:proofErr w:type="spellEnd"/>
      <w:r w:rsidRPr="00DF2FBA">
        <w:rPr>
          <w:rFonts w:ascii="Arial" w:hAnsi="Arial" w:cs="Arial"/>
        </w:rPr>
        <w:t xml:space="preserve">, M. Y. </w:t>
      </w:r>
      <w:r w:rsidRPr="00DF2FBA">
        <w:rPr>
          <w:rFonts w:ascii="Arial" w:hAnsi="Arial" w:cs="Arial"/>
          <w:i/>
        </w:rPr>
        <w:t xml:space="preserve">Chem. </w:t>
      </w:r>
      <w:proofErr w:type="spellStart"/>
      <w:r w:rsidRPr="00DF2FBA">
        <w:rPr>
          <w:rFonts w:ascii="Arial" w:hAnsi="Arial" w:cs="Arial"/>
          <w:i/>
        </w:rPr>
        <w:t>Commun</w:t>
      </w:r>
      <w:proofErr w:type="spellEnd"/>
      <w:r w:rsidRPr="00DF2FBA">
        <w:rPr>
          <w:rFonts w:ascii="Arial" w:hAnsi="Arial" w:cs="Arial"/>
          <w:i/>
        </w:rPr>
        <w:t>.</w:t>
      </w:r>
      <w:r w:rsidRPr="00DF2FBA">
        <w:rPr>
          <w:rFonts w:ascii="Arial" w:hAnsi="Arial" w:cs="Arial"/>
        </w:rPr>
        <w:t xml:space="preserve">, </w:t>
      </w:r>
      <w:r w:rsidRPr="00DF2FBA">
        <w:rPr>
          <w:rFonts w:ascii="Arial" w:hAnsi="Arial" w:cs="Arial"/>
          <w:b/>
        </w:rPr>
        <w:t>2017</w:t>
      </w:r>
      <w:r w:rsidRPr="00DF2FBA">
        <w:rPr>
          <w:rFonts w:ascii="Arial" w:hAnsi="Arial" w:cs="Arial"/>
        </w:rPr>
        <w:t xml:space="preserve">, </w:t>
      </w:r>
      <w:r w:rsidRPr="00DF2FBA">
        <w:rPr>
          <w:rFonts w:ascii="Arial" w:hAnsi="Arial" w:cs="Arial"/>
          <w:i/>
        </w:rPr>
        <w:t>53</w:t>
      </w:r>
      <w:r w:rsidRPr="00DF2FBA">
        <w:rPr>
          <w:rFonts w:ascii="Arial" w:hAnsi="Arial" w:cs="Arial"/>
        </w:rPr>
        <w:t>, 1180-1183</w:t>
      </w:r>
    </w:p>
  </w:endnote>
  <w:endnote w:id="10">
    <w:p w14:paraId="6C5901AF"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Bashir, S.; </w:t>
      </w:r>
      <w:proofErr w:type="spellStart"/>
      <w:r w:rsidRPr="00DF2FBA">
        <w:rPr>
          <w:rFonts w:ascii="Arial" w:hAnsi="Arial" w:cs="Arial"/>
        </w:rPr>
        <w:t>Hina</w:t>
      </w:r>
      <w:proofErr w:type="spellEnd"/>
      <w:r w:rsidRPr="00DF2FBA">
        <w:rPr>
          <w:rFonts w:ascii="Arial" w:hAnsi="Arial" w:cs="Arial"/>
        </w:rPr>
        <w:t xml:space="preserve">, M.; Iqbal, J.; </w:t>
      </w:r>
      <w:proofErr w:type="spellStart"/>
      <w:r w:rsidRPr="00DF2FBA">
        <w:rPr>
          <w:rFonts w:ascii="Arial" w:hAnsi="Arial" w:cs="Arial"/>
        </w:rPr>
        <w:t>Rajpar</w:t>
      </w:r>
      <w:proofErr w:type="spellEnd"/>
      <w:r w:rsidRPr="00DF2FBA">
        <w:rPr>
          <w:rFonts w:ascii="Arial" w:hAnsi="Arial" w:cs="Arial"/>
        </w:rPr>
        <w:t xml:space="preserve">, A. H.; Mujtaba, M. A.; Alghamdi, N. A.; </w:t>
      </w:r>
      <w:proofErr w:type="spellStart"/>
      <w:r w:rsidRPr="00DF2FBA">
        <w:rPr>
          <w:rFonts w:ascii="Arial" w:hAnsi="Arial" w:cs="Arial"/>
        </w:rPr>
        <w:t>Wageh</w:t>
      </w:r>
      <w:proofErr w:type="spellEnd"/>
      <w:r w:rsidRPr="00DF2FBA">
        <w:rPr>
          <w:rFonts w:ascii="Arial" w:hAnsi="Arial" w:cs="Arial"/>
        </w:rPr>
        <w:t xml:space="preserve">, S.; Ramesh, K.; Ramesh, S. (2020) </w:t>
      </w:r>
      <w:r w:rsidRPr="00DF2FBA">
        <w:rPr>
          <w:rFonts w:ascii="Arial" w:hAnsi="Arial" w:cs="Arial"/>
          <w:i/>
          <w:iCs/>
        </w:rPr>
        <w:t>Polymers</w:t>
      </w:r>
      <w:r w:rsidRPr="00DF2FBA">
        <w:rPr>
          <w:rFonts w:ascii="Arial" w:hAnsi="Arial" w:cs="Arial"/>
        </w:rPr>
        <w:t>, 12 (11), 2702.</w:t>
      </w:r>
    </w:p>
  </w:endnote>
  <w:endnote w:id="11">
    <w:p w14:paraId="2DA289E4"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t>
      </w:r>
      <w:proofErr w:type="spellStart"/>
      <w:r w:rsidRPr="00DF2FBA">
        <w:rPr>
          <w:rFonts w:ascii="Arial" w:hAnsi="Arial" w:cs="Arial"/>
        </w:rPr>
        <w:t>D’Urso</w:t>
      </w:r>
      <w:proofErr w:type="spellEnd"/>
      <w:r w:rsidRPr="00DF2FBA">
        <w:rPr>
          <w:rFonts w:ascii="Arial" w:hAnsi="Arial" w:cs="Arial"/>
        </w:rPr>
        <w:t xml:space="preserve">, E. M.; Fortier, G.  (1994) </w:t>
      </w:r>
      <w:r w:rsidRPr="00DF2FBA">
        <w:rPr>
          <w:rFonts w:ascii="Arial" w:hAnsi="Arial" w:cs="Arial"/>
          <w:i/>
          <w:iCs/>
        </w:rPr>
        <w:t xml:space="preserve">J. </w:t>
      </w:r>
      <w:proofErr w:type="spellStart"/>
      <w:r w:rsidRPr="00DF2FBA">
        <w:rPr>
          <w:rFonts w:ascii="Arial" w:hAnsi="Arial" w:cs="Arial"/>
          <w:i/>
          <w:iCs/>
        </w:rPr>
        <w:t>Bioact</w:t>
      </w:r>
      <w:proofErr w:type="spellEnd"/>
      <w:r w:rsidRPr="00DF2FBA">
        <w:rPr>
          <w:rFonts w:ascii="Arial" w:hAnsi="Arial" w:cs="Arial"/>
          <w:i/>
          <w:iCs/>
        </w:rPr>
        <w:t>. Compat. Poly.</w:t>
      </w:r>
      <w:r w:rsidRPr="00DF2FBA">
        <w:rPr>
          <w:rFonts w:ascii="Arial" w:hAnsi="Arial" w:cs="Arial"/>
        </w:rPr>
        <w:t>, 9, 367</w:t>
      </w:r>
    </w:p>
  </w:endnote>
  <w:endnote w:id="12">
    <w:p w14:paraId="4F90B848" w14:textId="77777777" w:rsidR="00C21E00" w:rsidRPr="00DF2FBA" w:rsidRDefault="00C21E00" w:rsidP="00C21E00">
      <w:pPr>
        <w:pStyle w:val="EndnoteText"/>
        <w:rPr>
          <w:rFonts w:ascii="Arial" w:hAnsi="Arial" w:cs="Arial"/>
        </w:rPr>
      </w:pPr>
      <w:r w:rsidRPr="00DF2FBA">
        <w:rPr>
          <w:rStyle w:val="EndnoteReference"/>
          <w:rFonts w:ascii="Arial" w:hAnsi="Arial" w:cs="Arial"/>
        </w:rPr>
        <w:endnoteRef/>
      </w:r>
      <w:r w:rsidRPr="00DF2FBA">
        <w:rPr>
          <w:rFonts w:ascii="Arial" w:hAnsi="Arial" w:cs="Arial"/>
        </w:rPr>
        <w:t xml:space="preserve"> </w:t>
      </w:r>
      <w:proofErr w:type="spellStart"/>
      <w:r w:rsidRPr="00DF2FBA">
        <w:rPr>
          <w:rFonts w:ascii="Arial" w:hAnsi="Arial" w:cs="Arial"/>
        </w:rPr>
        <w:t>D’Urso</w:t>
      </w:r>
      <w:proofErr w:type="spellEnd"/>
      <w:r w:rsidRPr="00DF2FBA">
        <w:rPr>
          <w:rFonts w:ascii="Arial" w:hAnsi="Arial" w:cs="Arial"/>
        </w:rPr>
        <w:t>, E. M.; Jean-François, J.; </w:t>
      </w:r>
      <w:proofErr w:type="spellStart"/>
      <w:r w:rsidRPr="00DF2FBA">
        <w:rPr>
          <w:rFonts w:ascii="Arial" w:hAnsi="Arial" w:cs="Arial"/>
        </w:rPr>
        <w:t>Doillon</w:t>
      </w:r>
      <w:proofErr w:type="spellEnd"/>
      <w:r w:rsidRPr="00DF2FBA">
        <w:rPr>
          <w:rFonts w:ascii="Arial" w:hAnsi="Arial" w:cs="Arial"/>
        </w:rPr>
        <w:t xml:space="preserve">, C. J.; Fortier, G.  (1995) </w:t>
      </w:r>
      <w:r w:rsidRPr="00DF2FBA">
        <w:rPr>
          <w:rFonts w:ascii="Arial" w:hAnsi="Arial" w:cs="Arial"/>
          <w:i/>
          <w:iCs/>
        </w:rPr>
        <w:t xml:space="preserve">Art. Cells Blood Subs. </w:t>
      </w:r>
      <w:proofErr w:type="spellStart"/>
      <w:r w:rsidRPr="00DF2FBA">
        <w:rPr>
          <w:rFonts w:ascii="Arial" w:hAnsi="Arial" w:cs="Arial"/>
          <w:i/>
          <w:iCs/>
        </w:rPr>
        <w:t>Immob</w:t>
      </w:r>
      <w:proofErr w:type="spellEnd"/>
      <w:r w:rsidRPr="00DF2FBA">
        <w:rPr>
          <w:rFonts w:ascii="Arial" w:hAnsi="Arial" w:cs="Arial"/>
          <w:i/>
          <w:iCs/>
        </w:rPr>
        <w:t>. Biotech.</w:t>
      </w:r>
      <w:r w:rsidRPr="00DF2FBA">
        <w:rPr>
          <w:rFonts w:ascii="Arial" w:hAnsi="Arial" w:cs="Arial"/>
        </w:rPr>
        <w:t>, 23 (5), 587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6E1F" w14:textId="77777777" w:rsidR="005A6472" w:rsidRDefault="005A6472" w:rsidP="00C21E00">
      <w:pPr>
        <w:spacing w:after="0" w:line="240" w:lineRule="auto"/>
      </w:pPr>
      <w:r>
        <w:separator/>
      </w:r>
    </w:p>
  </w:footnote>
  <w:footnote w:type="continuationSeparator" w:id="0">
    <w:p w14:paraId="5C78C624" w14:textId="77777777" w:rsidR="005A6472" w:rsidRDefault="005A6472" w:rsidP="00C21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55610"/>
    <w:multiLevelType w:val="hybridMultilevel"/>
    <w:tmpl w:val="2F0C6A6A"/>
    <w:lvl w:ilvl="0" w:tplc="0F0693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00"/>
    <w:rsid w:val="005A6472"/>
    <w:rsid w:val="00603D67"/>
    <w:rsid w:val="008A7760"/>
    <w:rsid w:val="00C21E00"/>
    <w:rsid w:val="00C738B6"/>
    <w:rsid w:val="00CD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BB61D"/>
  <w15:chartTrackingRefBased/>
  <w15:docId w15:val="{4E6A05A5-1BF4-A247-91A4-F6BEEC53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0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1E00"/>
    <w:pPr>
      <w:widowControl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C21E00"/>
    <w:rPr>
      <w:rFonts w:ascii="Arial" w:eastAsia="Arial" w:hAnsi="Arial" w:cs="Arial"/>
      <w:sz w:val="19"/>
      <w:szCs w:val="19"/>
    </w:rPr>
  </w:style>
  <w:style w:type="paragraph" w:styleId="EndnoteText">
    <w:name w:val="endnote text"/>
    <w:basedOn w:val="Normal"/>
    <w:link w:val="EndnoteTextChar"/>
    <w:uiPriority w:val="99"/>
    <w:semiHidden/>
    <w:unhideWhenUsed/>
    <w:rsid w:val="00C21E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E00"/>
    <w:rPr>
      <w:sz w:val="20"/>
      <w:szCs w:val="20"/>
    </w:rPr>
  </w:style>
  <w:style w:type="character" w:styleId="EndnoteReference">
    <w:name w:val="endnote reference"/>
    <w:basedOn w:val="DefaultParagraphFont"/>
    <w:uiPriority w:val="99"/>
    <w:semiHidden/>
    <w:unhideWhenUsed/>
    <w:rsid w:val="00C21E00"/>
    <w:rPr>
      <w:vertAlign w:val="superscript"/>
    </w:rPr>
  </w:style>
  <w:style w:type="character" w:styleId="HTMLCite">
    <w:name w:val="HTML Cite"/>
    <w:basedOn w:val="DefaultParagraphFont"/>
    <w:uiPriority w:val="99"/>
    <w:semiHidden/>
    <w:unhideWhenUsed/>
    <w:rsid w:val="00C21E00"/>
    <w:rPr>
      <w:i/>
      <w:iCs/>
    </w:rPr>
  </w:style>
  <w:style w:type="character" w:styleId="Hyperlink">
    <w:name w:val="Hyperlink"/>
    <w:basedOn w:val="DefaultParagraphFont"/>
    <w:uiPriority w:val="99"/>
    <w:unhideWhenUsed/>
    <w:rsid w:val="00C21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Journal_of_the_American_Chemical_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Ford</dc:creator>
  <cp:keywords/>
  <dc:description/>
  <cp:lastModifiedBy>Ashlie Ford</cp:lastModifiedBy>
  <cp:revision>3</cp:revision>
  <dcterms:created xsi:type="dcterms:W3CDTF">2021-11-17T16:53:00Z</dcterms:created>
  <dcterms:modified xsi:type="dcterms:W3CDTF">2021-11-17T17:20:00Z</dcterms:modified>
</cp:coreProperties>
</file>